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63B34">
      <w:pPr>
        <w:spacing w:before="156" w:beforeLines="50" w:after="156" w:afterLines="50"/>
        <w:rPr>
          <w:bCs/>
        </w:rPr>
      </w:pPr>
      <w:r>
        <w:rPr>
          <w:rFonts w:hint="eastAsia"/>
          <w:bCs/>
        </w:rPr>
        <w:t>证券代码：</w:t>
      </w:r>
      <w:sdt>
        <w:sdtPr>
          <w:rPr>
            <w:rFonts w:hint="eastAsia"/>
            <w:bCs/>
          </w:rPr>
          <w:alias w:val="公司代码"/>
          <w:tag w:val="_GBC_704b7b03ea3f4a93b8d4655a09b2ff61"/>
          <w:id w:val="-722902307"/>
          <w:placeholder>
            <w:docPart w:val="GBC22222222222222222222222222222"/>
          </w:placeholder>
        </w:sdtPr>
        <w:sdtEndPr>
          <w:rPr>
            <w:rFonts w:hint="eastAsia"/>
            <w:bCs/>
          </w:rPr>
        </w:sdtEndPr>
        <w:sdtContent>
          <w:r>
            <w:rPr>
              <w:rFonts w:hint="eastAsia"/>
              <w:bCs/>
            </w:rPr>
            <w:t>600867</w:t>
          </w:r>
        </w:sdtContent>
      </w:sdt>
      <w:r>
        <w:rPr>
          <w:rFonts w:hint="eastAsia"/>
          <w:bCs/>
        </w:rPr>
        <w:t xml:space="preserve">                </w:t>
      </w:r>
      <w:r>
        <w:rPr>
          <w:bCs/>
        </w:rPr>
        <w:t xml:space="preserve">                                 </w:t>
      </w:r>
      <w:r>
        <w:rPr>
          <w:rFonts w:hint="eastAsia"/>
          <w:bCs/>
        </w:rPr>
        <w:t>证券简称：</w:t>
      </w:r>
      <w:sdt>
        <w:sdtPr>
          <w:rPr>
            <w:rFonts w:hint="eastAsia"/>
            <w:bCs/>
          </w:rPr>
          <w:alias w:val="公司简称"/>
          <w:tag w:val="_GBC_0384ae715a1e4b4894a29e4d27f5bef4"/>
          <w:id w:val="553118218"/>
          <w:placeholder>
            <w:docPart w:val="GBC22222222222222222222222222222"/>
          </w:placeholder>
        </w:sdtPr>
        <w:sdtEndPr>
          <w:rPr>
            <w:rFonts w:hint="eastAsia"/>
            <w:bCs/>
          </w:rPr>
        </w:sdtEndPr>
        <w:sdtContent>
          <w:r>
            <w:rPr>
              <w:rFonts w:hint="eastAsia"/>
              <w:bCs/>
            </w:rPr>
            <w:t>通化东宝</w:t>
          </w:r>
        </w:sdtContent>
      </w:sdt>
    </w:p>
    <w:p w14:paraId="3FB0495B">
      <w:pPr>
        <w:rPr>
          <w:b/>
          <w:bCs/>
        </w:rPr>
      </w:pPr>
    </w:p>
    <w:p w14:paraId="6282D7AA">
      <w:pPr>
        <w:rPr>
          <w:b/>
          <w:bCs/>
        </w:rPr>
      </w:pPr>
    </w:p>
    <w:p w14:paraId="686B128A">
      <w:pPr>
        <w:jc w:val="center"/>
        <w:rPr>
          <w:rFonts w:ascii="黑体" w:hAnsi="黑体" w:eastAsia="黑体"/>
          <w:b/>
          <w:bCs/>
          <w:color w:val="FF0000"/>
          <w:sz w:val="44"/>
          <w:szCs w:val="44"/>
        </w:rPr>
      </w:pPr>
      <w:sdt>
        <w:sdtPr>
          <w:rPr>
            <w:rFonts w:ascii="黑体" w:hAnsi="黑体" w:eastAsia="黑体"/>
            <w:b/>
            <w:bCs/>
            <w:color w:val="FF0000"/>
            <w:sz w:val="44"/>
            <w:szCs w:val="44"/>
          </w:rPr>
          <w:alias w:val="公司法定中文名称"/>
          <w:tag w:val="_GBC_ab27d14a4fa1446487b4e4001930e37a"/>
          <w:id w:val="-48223257"/>
          <w:placeholder>
            <w:docPart w:val="GBC22222222222222222222222222222"/>
          </w:placeholder>
          <w:dataBinding w:prefixMappings="xmlns:clcid-cgi='clcid-cgi'" w:xpath="/*/clcid-cgi:GongSiFaDingZhongWenMingCheng" w:storeItemID="{42DEBF9A-6816-48AE-BADD-E3125C474CD9}"/>
          <w:text/>
        </w:sdtPr>
        <w:sdtEndPr>
          <w:rPr>
            <w:rFonts w:ascii="黑体" w:hAnsi="黑体" w:eastAsia="黑体"/>
            <w:b/>
            <w:bCs/>
            <w:color w:val="FF0000"/>
            <w:sz w:val="44"/>
            <w:szCs w:val="44"/>
          </w:rPr>
        </w:sdtEndPr>
        <w:sdtContent>
          <w:r>
            <w:rPr>
              <w:rFonts w:ascii="黑体" w:hAnsi="黑体" w:eastAsia="黑体"/>
              <w:b/>
              <w:bCs/>
              <w:color w:val="FF0000"/>
              <w:sz w:val="44"/>
              <w:szCs w:val="44"/>
            </w:rPr>
            <w:t>通化东宝药业股份有限公司</w:t>
          </w:r>
        </w:sdtContent>
      </w:sdt>
    </w:p>
    <w:p w14:paraId="4AD1957F">
      <w:pPr>
        <w:jc w:val="center"/>
        <w:rPr>
          <w:rFonts w:ascii="黑体" w:hAnsi="黑体" w:eastAsia="黑体"/>
          <w:b/>
          <w:bCs/>
          <w:color w:val="FF0000"/>
          <w:sz w:val="44"/>
          <w:szCs w:val="44"/>
        </w:rPr>
      </w:pPr>
      <w:r>
        <w:rPr>
          <w:rFonts w:ascii="黑体" w:hAnsi="黑体" w:eastAsia="黑体"/>
          <w:b/>
          <w:bCs/>
          <w:color w:val="FF0000"/>
          <w:sz w:val="44"/>
          <w:szCs w:val="44"/>
        </w:rPr>
        <w:t>2025年第</w:t>
      </w:r>
      <w:r>
        <w:rPr>
          <w:rFonts w:hint="eastAsia" w:ascii="黑体" w:hAnsi="黑体" w:eastAsia="黑体"/>
          <w:b/>
          <w:bCs/>
          <w:color w:val="FF0000"/>
          <w:sz w:val="44"/>
          <w:szCs w:val="44"/>
        </w:rPr>
        <w:t>三</w:t>
      </w:r>
      <w:r>
        <w:rPr>
          <w:rFonts w:ascii="黑体" w:hAnsi="黑体" w:eastAsia="黑体"/>
          <w:b/>
          <w:bCs/>
          <w:color w:val="FF0000"/>
          <w:sz w:val="44"/>
          <w:szCs w:val="44"/>
        </w:rPr>
        <w:t>季度报告</w:t>
      </w:r>
    </w:p>
    <w:p w14:paraId="1AEF6A1F"/>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9"/>
      </w:tblGrid>
      <w:tr w14:paraId="2355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sdt>
            <w:sdtPr>
              <w:tag w:val="_PLD_510235b1d67f4ddd974d1473b831d298"/>
              <w:id w:val="-1906291643"/>
            </w:sdtPr>
            <w:sdtContent>
              <w:p w14:paraId="0971DE95">
                <w:pPr>
                  <w:spacing w:line="360" w:lineRule="auto"/>
                  <w:ind w:firstLine="420" w:firstLineChars="200"/>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14:paraId="4430E685"/>
    <w:p w14:paraId="590AE9E0">
      <w:pPr>
        <w:pStyle w:val="2"/>
        <w:tabs>
          <w:tab w:val="left" w:pos="434"/>
          <w:tab w:val="left" w:pos="882"/>
        </w:tabs>
        <w:spacing w:line="360" w:lineRule="auto"/>
        <w:rPr>
          <w:sz w:val="21"/>
        </w:rPr>
      </w:pPr>
      <w:bookmarkStart w:id="0" w:name="_Toc493164697"/>
      <w:bookmarkStart w:id="1" w:name="_Toc395718055"/>
      <w:r>
        <w:rPr>
          <w:sz w:val="21"/>
        </w:rPr>
        <w:t>重要</w:t>
      </w:r>
      <w:bookmarkEnd w:id="0"/>
      <w:bookmarkEnd w:id="1"/>
      <w:r>
        <w:rPr>
          <w:rFonts w:hint="eastAsia"/>
          <w:sz w:val="21"/>
        </w:rPr>
        <w:t>内容提示：</w:t>
      </w:r>
    </w:p>
    <w:sdt>
      <w:sdtPr>
        <w:rPr>
          <w:rFonts w:hint="eastAsia"/>
          <w:b w:val="0"/>
          <w:bCs w:val="0"/>
        </w:rPr>
        <w:alias w:val="董事会及董事声明"/>
        <w:tag w:val="_GBC_121a4c3606764a8fbe6842f8763c3480"/>
        <w:id w:val="-66274644"/>
        <w:placeholder>
          <w:docPart w:val="GBC22222222222222222222222222222"/>
        </w:placeholder>
      </w:sdtPr>
      <w:sdtEndPr>
        <w:rPr>
          <w:rFonts w:hint="eastAsia"/>
          <w:b w:val="0"/>
          <w:bCs w:val="0"/>
        </w:rPr>
      </w:sdtEndPr>
      <w:sdtContent>
        <w:p w14:paraId="5374A6D8">
          <w:pPr>
            <w:pStyle w:val="3"/>
            <w:spacing w:line="360" w:lineRule="auto"/>
            <w:rPr>
              <w:b w:val="0"/>
              <w:bCs w:val="0"/>
            </w:rPr>
          </w:pPr>
          <w:r>
            <w:rPr>
              <w:b w:val="0"/>
              <w:bCs w:val="0"/>
            </w:rPr>
            <w:t>公司董事会</w:t>
          </w:r>
          <w:sdt>
            <w:sdtPr>
              <w:tag w:val="_PLD_6c7c1b6feece4d6d8c952c7109ce7c85"/>
              <w:id w:val="1181470795"/>
            </w:sdtPr>
            <w:sdtContent>
              <w:r>
                <w:rPr>
                  <w:b w:val="0"/>
                  <w:bCs w:val="0"/>
                </w:rPr>
                <w:t>、监事会</w:t>
              </w:r>
            </w:sdtContent>
          </w:sdt>
          <w:r>
            <w:rPr>
              <w:b w:val="0"/>
              <w:bCs w:val="0"/>
            </w:rPr>
            <w:t>及董事</w:t>
          </w:r>
          <w:sdt>
            <w:sdtPr>
              <w:tag w:val="_PLD_8118199324894d539de9454c8dcfc523"/>
              <w:id w:val="624826374"/>
            </w:sdtPr>
            <w:sdtContent>
              <w:r>
                <w:rPr>
                  <w:b w:val="0"/>
                  <w:bCs w:val="0"/>
                </w:rPr>
                <w:t>、监事</w:t>
              </w:r>
            </w:sdtContent>
          </w:sdt>
          <w:r>
            <w:rPr>
              <w:b w:val="0"/>
              <w:bCs w:val="0"/>
            </w:rPr>
            <w:t>、高级管理人员保证季度报告内容的真实、准确、完整，不存在虚假记载、误导性陈述或重大遗漏，并承担个别和连带的法律责任。</w:t>
          </w:r>
        </w:p>
      </w:sdtContent>
    </w:sdt>
    <w:p w14:paraId="24546EE0">
      <w:pPr>
        <w:spacing w:line="360" w:lineRule="auto"/>
        <w:rPr>
          <w:color w:val="0000FF"/>
        </w:rPr>
      </w:pPr>
      <w:r>
        <w:rPr>
          <w:rFonts w:hint="eastAsia"/>
          <w:color w:val="0000FF"/>
        </w:rPr>
        <w:t xml:space="preserve"> </w:t>
      </w:r>
    </w:p>
    <w:p w14:paraId="5B655DE2">
      <w:pPr>
        <w:pStyle w:val="3"/>
        <w:spacing w:before="0" w:after="0" w:line="360" w:lineRule="auto"/>
        <w:rPr>
          <w:b w:val="0"/>
          <w:bCs w:val="0"/>
        </w:rPr>
      </w:pPr>
      <w:r>
        <w:rPr>
          <w:b w:val="0"/>
          <w:bCs w:val="0"/>
        </w:rPr>
        <w:t>公司负责人、主管会计工作负责人及会计机构负责人（会计主管人员）保证季度报告中财务</w:t>
      </w:r>
      <w:r>
        <w:rPr>
          <w:rFonts w:hint="eastAsia"/>
          <w:b w:val="0"/>
          <w:bCs w:val="0"/>
        </w:rPr>
        <w:t>信息</w:t>
      </w:r>
      <w:r>
        <w:rPr>
          <w:b w:val="0"/>
          <w:bCs w:val="0"/>
        </w:rPr>
        <w:t>的真实、</w:t>
      </w:r>
      <w:r>
        <w:rPr>
          <w:rFonts w:hint="eastAsia"/>
          <w:b w:val="0"/>
          <w:bCs w:val="0"/>
        </w:rPr>
        <w:t>准确、</w:t>
      </w:r>
      <w:r>
        <w:rPr>
          <w:b w:val="0"/>
          <w:bCs w:val="0"/>
        </w:rPr>
        <w:t>完整。</w:t>
      </w:r>
    </w:p>
    <w:p w14:paraId="11F89F60"/>
    <w:p w14:paraId="03E619E5">
      <w:pPr>
        <w:pStyle w:val="3"/>
        <w:spacing w:before="0" w:after="0" w:line="360" w:lineRule="auto"/>
        <w:rPr>
          <w:b w:val="0"/>
          <w:bCs w:val="0"/>
        </w:rPr>
      </w:pPr>
      <w:r>
        <w:rPr>
          <w:rFonts w:hint="eastAsia"/>
          <w:b w:val="0"/>
          <w:bCs w:val="0"/>
        </w:rPr>
        <w:t>第三季度财务报表是否经审计</w:t>
      </w:r>
    </w:p>
    <w:p w14:paraId="7CF292EF">
      <w:pPr>
        <w:tabs>
          <w:tab w:val="left" w:pos="1892"/>
        </w:tabs>
      </w:pPr>
      <w:sdt>
        <w:sdtPr>
          <w:rPr>
            <w:rFonts w:hint="eastAsia" w:asciiTheme="minorEastAsia" w:hAnsiTheme="minorEastAsia" w:eastAsiaTheme="minorEastAsia"/>
          </w:rPr>
          <w:alias w:val="是否经审计[双击切换]"/>
          <w:tag w:val="_GBC_1c2c9021f8234ac69fb1f8fc40e3a7c1"/>
          <w:id w:val="-1192141877"/>
          <w:placeholder>
            <w:docPart w:val="GBC22222222222222222222222222222"/>
          </w:placeholder>
        </w:sdtPr>
        <w:sdtEndPr>
          <w:rPr>
            <w:rFonts w:hint="eastAsia" w:asciiTheme="minorEastAsia" w:hAnsiTheme="minorEastAsia" w:eastAsiaTheme="minorEastAsia"/>
          </w:rPr>
        </w:sdtEndPr>
        <w:sdtContent>
          <w:r>
            <w:rPr>
              <w:rFonts w:asciiTheme="minorEastAsia" w:hAnsiTheme="minorEastAsia" w:eastAsiaTheme="minorEastAsia"/>
            </w:rPr>
            <w:fldChar w:fldCharType="begin"/>
          </w:r>
          <w:r>
            <w:rPr>
              <w:rFonts w:asciiTheme="minorEastAsia" w:hAnsiTheme="minorEastAsia" w:eastAsiaTheme="minorEastAsia"/>
            </w:rPr>
            <w:instrText xml:space="preserve"> MACROBUTTON  SnrToggleCheckbox □是 </w:instrText>
          </w:r>
          <w:r>
            <w:rPr>
              <w:rFonts w:asciiTheme="minorEastAsia" w:hAnsiTheme="minorEastAsia" w:eastAsiaTheme="minorEastAsia"/>
            </w:rPr>
            <w:fldChar w:fldCharType="end"/>
          </w:r>
          <w:r>
            <w:rPr>
              <w:rFonts w:asciiTheme="minorEastAsia" w:hAnsiTheme="minorEastAsia" w:eastAsiaTheme="minorEastAsia"/>
            </w:rPr>
            <w:fldChar w:fldCharType="begin"/>
          </w:r>
          <w:r>
            <w:rPr>
              <w:rFonts w:asciiTheme="minorEastAsia" w:hAnsiTheme="minorEastAsia" w:eastAsiaTheme="minorEastAsia"/>
            </w:rPr>
            <w:instrText xml:space="preserve"> MACROBUTTON  SnrToggleCheckbox √否 </w:instrText>
          </w:r>
          <w:r>
            <w:rPr>
              <w:rFonts w:asciiTheme="minorEastAsia" w:hAnsiTheme="minorEastAsia" w:eastAsiaTheme="minorEastAsia"/>
            </w:rPr>
            <w:fldChar w:fldCharType="end"/>
          </w:r>
        </w:sdtContent>
      </w:sdt>
      <w:bookmarkStart w:id="2" w:name="_Hlk83215426"/>
    </w:p>
    <w:p w14:paraId="645B1668"/>
    <w:p w14:paraId="2215EDCE">
      <w:pPr>
        <w:ind w:right="-59" w:rightChars="-28"/>
      </w:pPr>
    </w:p>
    <w:bookmarkEnd w:id="2"/>
    <w:p w14:paraId="6D62C606">
      <w:pPr>
        <w:pStyle w:val="2"/>
        <w:numPr>
          <w:ilvl w:val="0"/>
          <w:numId w:val="2"/>
        </w:numPr>
        <w:tabs>
          <w:tab w:val="left" w:pos="434"/>
          <w:tab w:val="left" w:pos="882"/>
        </w:tabs>
        <w:spacing w:line="360" w:lineRule="auto"/>
        <w:rPr>
          <w:sz w:val="21"/>
        </w:rPr>
      </w:pPr>
      <w:r>
        <w:rPr>
          <w:rFonts w:hint="eastAsia"/>
          <w:sz w:val="21"/>
        </w:rPr>
        <w:t>主要财务数据</w:t>
      </w:r>
    </w:p>
    <w:p w14:paraId="7EFC6718">
      <w:pPr>
        <w:pStyle w:val="3"/>
        <w:numPr>
          <w:ilvl w:val="0"/>
          <w:numId w:val="3"/>
        </w:numPr>
        <w:tabs>
          <w:tab w:val="left" w:pos="728"/>
        </w:tabs>
        <w:spacing w:before="0" w:after="0" w:line="360" w:lineRule="auto"/>
      </w:pPr>
      <w:r>
        <w:t>主要</w:t>
      </w:r>
      <w:r>
        <w:rPr>
          <w:rFonts w:hint="eastAsia"/>
        </w:rPr>
        <w:t>会计数据和财务指标</w:t>
      </w:r>
    </w:p>
    <w:p w14:paraId="433901BD">
      <w:pPr>
        <w:widowControl w:val="0"/>
        <w:wordWrap w:val="0"/>
        <w:jc w:val="right"/>
      </w:pPr>
      <w:r>
        <w:rPr>
          <w:rFonts w:hint="eastAsia"/>
        </w:rPr>
        <w:t>单位：</w:t>
      </w:r>
      <w:sdt>
        <w:sdtPr>
          <w:rPr>
            <w:rFonts w:hint="eastAsia"/>
          </w:rPr>
          <w:alias w:val="单位_主要财务数据"/>
          <w:tag w:val="_GBC_8de0e56e64aa495180a0c6c11886b2bc"/>
          <w:id w:val="12927908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t xml:space="preserve">  币种</w:t>
      </w:r>
      <w:r>
        <w:rPr>
          <w:rFonts w:hint="eastAsia"/>
        </w:rPr>
        <w:t>：</w:t>
      </w:r>
      <w:sdt>
        <w:sdtPr>
          <w:rPr>
            <w:rFonts w:hint="eastAsia"/>
          </w:rPr>
          <w:alias w:val="币种_主要会计数据和财务指标"/>
          <w:tag w:val="_GBC_b8f6c71b74cd4f3dad44872a1db488ef"/>
          <w:id w:val="-17393875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2008"/>
        <w:gridCol w:w="1278"/>
        <w:gridCol w:w="1729"/>
        <w:gridCol w:w="1551"/>
      </w:tblGrid>
      <w:tr w14:paraId="7D75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f2ce49d434a745c7acc3a52f1012162b"/>
            <w:id w:val="1786157081"/>
          </w:sdtPr>
          <w:sdtContent>
            <w:tc>
              <w:tcPr>
                <w:tcW w:w="2421" w:type="dxa"/>
                <w:vAlign w:val="center"/>
              </w:tcPr>
              <w:p w14:paraId="26A353E8">
                <w:pPr>
                  <w:jc w:val="center"/>
                </w:pPr>
                <w:r>
                  <w:rPr>
                    <w:rFonts w:hint="eastAsia"/>
                  </w:rPr>
                  <w:t>项目</w:t>
                </w:r>
              </w:p>
            </w:tc>
          </w:sdtContent>
        </w:sdt>
        <w:sdt>
          <w:sdtPr>
            <w:tag w:val="_PLD_9d5f261ece184e8b9d9c9c7a094c362a"/>
            <w:id w:val="1480038906"/>
          </w:sdtPr>
          <w:sdtContent>
            <w:tc>
              <w:tcPr>
                <w:tcW w:w="1958" w:type="dxa"/>
                <w:vAlign w:val="center"/>
              </w:tcPr>
              <w:p w14:paraId="50F6FFC8">
                <w:pPr>
                  <w:jc w:val="center"/>
                </w:pPr>
                <w:r>
                  <w:rPr>
                    <w:rFonts w:hint="eastAsia"/>
                  </w:rPr>
                  <w:t>本报告期</w:t>
                </w:r>
              </w:p>
            </w:tc>
          </w:sdtContent>
        </w:sdt>
        <w:sdt>
          <w:sdtPr>
            <w:tag w:val="_PLD_1727b0602ecc4ecd9024513e9dc49584"/>
            <w:id w:val="2133360142"/>
          </w:sdtPr>
          <w:sdtContent>
            <w:tc>
              <w:tcPr>
                <w:tcW w:w="1246" w:type="dxa"/>
                <w:vAlign w:val="center"/>
              </w:tcPr>
              <w:p w14:paraId="7C4A92E8">
                <w:pPr>
                  <w:jc w:val="center"/>
                </w:pPr>
                <w:r>
                  <w:rPr>
                    <w:rFonts w:hint="eastAsia"/>
                  </w:rPr>
                  <w:t>本报告期比上年同期增减变动幅度(%)</w:t>
                </w:r>
              </w:p>
            </w:tc>
          </w:sdtContent>
        </w:sdt>
        <w:sdt>
          <w:sdtPr>
            <w:tag w:val="_PLD_33029d5b919d4c0ab16430d58d169307"/>
            <w:id w:val="1188560097"/>
          </w:sdtPr>
          <w:sdtContent>
            <w:tc>
              <w:tcPr>
                <w:tcW w:w="1686" w:type="dxa"/>
                <w:vAlign w:val="center"/>
              </w:tcPr>
              <w:p w14:paraId="140DA9A9">
                <w:pPr>
                  <w:jc w:val="center"/>
                </w:pPr>
                <w:r>
                  <w:rPr>
                    <w:rFonts w:hint="eastAsia"/>
                  </w:rPr>
                  <w:t>年初至报告期末</w:t>
                </w:r>
              </w:p>
            </w:tc>
          </w:sdtContent>
        </w:sdt>
        <w:sdt>
          <w:sdtPr>
            <w:tag w:val="_PLD_21b197e457e149c993be1c42da3617bd"/>
            <w:id w:val="-1202388432"/>
          </w:sdtPr>
          <w:sdtContent>
            <w:tc>
              <w:tcPr>
                <w:tcW w:w="1512" w:type="dxa"/>
                <w:vAlign w:val="center"/>
              </w:tcPr>
              <w:p w14:paraId="67CE9893">
                <w:pPr>
                  <w:jc w:val="center"/>
                </w:pPr>
                <w:r>
                  <w:rPr>
                    <w:rFonts w:hint="eastAsia"/>
                  </w:rPr>
                  <w:t>年初至报告期末比上年同期增减变动幅度(%)</w:t>
                </w:r>
              </w:p>
            </w:tc>
          </w:sdtContent>
        </w:sdt>
      </w:tr>
      <w:tr w14:paraId="084D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714C95A2">
            <w:r>
              <w:rPr>
                <w:rFonts w:hint="eastAsia"/>
              </w:rPr>
              <w:t>营业收入</w:t>
            </w:r>
          </w:p>
        </w:tc>
        <w:tc>
          <w:tcPr>
            <w:tcW w:w="1958" w:type="dxa"/>
            <w:vAlign w:val="center"/>
          </w:tcPr>
          <w:p w14:paraId="2E1A072F">
            <w:pPr>
              <w:jc w:val="right"/>
            </w:pPr>
            <w:r>
              <w:t>806,097,911.72</w:t>
            </w:r>
          </w:p>
        </w:tc>
        <w:tc>
          <w:tcPr>
            <w:tcW w:w="1246" w:type="dxa"/>
            <w:vAlign w:val="center"/>
          </w:tcPr>
          <w:p w14:paraId="4EE39040">
            <w:pPr>
              <w:jc w:val="right"/>
            </w:pPr>
            <w:r>
              <w:t>13.90</w:t>
            </w:r>
          </w:p>
        </w:tc>
        <w:tc>
          <w:tcPr>
            <w:tcW w:w="1686" w:type="dxa"/>
            <w:vAlign w:val="center"/>
          </w:tcPr>
          <w:p w14:paraId="3A5549E7">
            <w:pPr>
              <w:jc w:val="right"/>
            </w:pPr>
            <w:r>
              <w:t>2,179,588,480.01</w:t>
            </w:r>
          </w:p>
        </w:tc>
        <w:tc>
          <w:tcPr>
            <w:tcW w:w="1512" w:type="dxa"/>
            <w:vAlign w:val="center"/>
          </w:tcPr>
          <w:p w14:paraId="0F1565A3">
            <w:pPr>
              <w:jc w:val="right"/>
            </w:pPr>
            <w:r>
              <w:t>50.55</w:t>
            </w:r>
          </w:p>
        </w:tc>
      </w:tr>
      <w:tr w14:paraId="4D59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2E6A69C7">
            <w:r>
              <w:rPr>
                <w:rFonts w:hint="eastAsia"/>
              </w:rPr>
              <w:t>利润总额</w:t>
            </w:r>
          </w:p>
        </w:tc>
        <w:tc>
          <w:tcPr>
            <w:tcW w:w="1958" w:type="dxa"/>
            <w:vAlign w:val="center"/>
          </w:tcPr>
          <w:p w14:paraId="194A761B">
            <w:pPr>
              <w:jc w:val="right"/>
            </w:pPr>
            <w:r>
              <w:t>1,185,631,865.28</w:t>
            </w:r>
          </w:p>
        </w:tc>
        <w:tc>
          <w:tcPr>
            <w:tcW w:w="1246" w:type="dxa"/>
            <w:vAlign w:val="center"/>
          </w:tcPr>
          <w:p w14:paraId="3441B2D0">
            <w:pPr>
              <w:jc w:val="right"/>
            </w:pPr>
            <w:r>
              <w:t>547.29</w:t>
            </w:r>
          </w:p>
        </w:tc>
        <w:tc>
          <w:tcPr>
            <w:tcW w:w="1686" w:type="dxa"/>
            <w:vAlign w:val="center"/>
          </w:tcPr>
          <w:p w14:paraId="5A24A9A2">
            <w:pPr>
              <w:jc w:val="right"/>
            </w:pPr>
            <w:r>
              <w:t>1,440,563,778.65</w:t>
            </w:r>
          </w:p>
        </w:tc>
        <w:tc>
          <w:tcPr>
            <w:tcW w:w="1512" w:type="dxa"/>
            <w:vAlign w:val="center"/>
          </w:tcPr>
          <w:p w14:paraId="2663EF7A">
            <w:pPr>
              <w:wordWrap w:val="0"/>
              <w:jc w:val="right"/>
            </w:pPr>
            <w:r>
              <w:rPr>
                <w:rFonts w:hint="eastAsia"/>
              </w:rPr>
              <w:t>不适用</w:t>
            </w:r>
          </w:p>
        </w:tc>
      </w:tr>
      <w:tr w14:paraId="0308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41A868A3">
            <w:r>
              <w:rPr>
                <w:rFonts w:hint="eastAsia"/>
              </w:rPr>
              <w:t>归属于上市公司股东的净利润</w:t>
            </w:r>
          </w:p>
        </w:tc>
        <w:tc>
          <w:tcPr>
            <w:tcW w:w="1958" w:type="dxa"/>
            <w:vAlign w:val="center"/>
          </w:tcPr>
          <w:p w14:paraId="693D5EAD">
            <w:pPr>
              <w:jc w:val="right"/>
            </w:pPr>
            <w:r>
              <w:t>984,476,304.01</w:t>
            </w:r>
          </w:p>
        </w:tc>
        <w:tc>
          <w:tcPr>
            <w:tcW w:w="1246" w:type="dxa"/>
            <w:vAlign w:val="center"/>
          </w:tcPr>
          <w:p w14:paraId="7E29C9D8">
            <w:pPr>
              <w:jc w:val="right"/>
            </w:pPr>
            <w:r>
              <w:t>499.86</w:t>
            </w:r>
          </w:p>
        </w:tc>
        <w:tc>
          <w:tcPr>
            <w:tcW w:w="1686" w:type="dxa"/>
            <w:vAlign w:val="center"/>
          </w:tcPr>
          <w:p w14:paraId="3D684A68">
            <w:pPr>
              <w:jc w:val="right"/>
            </w:pPr>
            <w:r>
              <w:t>1,202,234,367.84</w:t>
            </w:r>
          </w:p>
        </w:tc>
        <w:tc>
          <w:tcPr>
            <w:tcW w:w="1512" w:type="dxa"/>
            <w:vAlign w:val="center"/>
          </w:tcPr>
          <w:p w14:paraId="419CDEA0">
            <w:pPr>
              <w:jc w:val="right"/>
            </w:pPr>
            <w:r>
              <w:rPr>
                <w:rFonts w:hint="eastAsia"/>
              </w:rPr>
              <w:t>不适用</w:t>
            </w:r>
          </w:p>
        </w:tc>
      </w:tr>
      <w:tr w14:paraId="1E0C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069EC594">
            <w:r>
              <w:rPr>
                <w:rFonts w:hint="eastAsia"/>
              </w:rPr>
              <w:t>归属于上市公司股东的扣除非经常性损益的净利润</w:t>
            </w:r>
          </w:p>
        </w:tc>
        <w:tc>
          <w:tcPr>
            <w:tcW w:w="1958" w:type="dxa"/>
            <w:vAlign w:val="center"/>
          </w:tcPr>
          <w:p w14:paraId="647AD00E">
            <w:pPr>
              <w:jc w:val="right"/>
            </w:pPr>
            <w:r>
              <w:t>100,539,622.11</w:t>
            </w:r>
          </w:p>
        </w:tc>
        <w:tc>
          <w:tcPr>
            <w:tcW w:w="1246" w:type="dxa"/>
            <w:vAlign w:val="center"/>
          </w:tcPr>
          <w:p w14:paraId="57F24A93">
            <w:pPr>
              <w:jc w:val="right"/>
            </w:pPr>
            <w:r>
              <w:t>-32.24</w:t>
            </w:r>
          </w:p>
        </w:tc>
        <w:tc>
          <w:tcPr>
            <w:tcW w:w="1686" w:type="dxa"/>
            <w:vAlign w:val="center"/>
          </w:tcPr>
          <w:p w14:paraId="441ACE34">
            <w:pPr>
              <w:jc w:val="right"/>
            </w:pPr>
            <w:r>
              <w:t>321,359,024.16</w:t>
            </w:r>
          </w:p>
        </w:tc>
        <w:tc>
          <w:tcPr>
            <w:tcW w:w="1512" w:type="dxa"/>
            <w:vAlign w:val="center"/>
          </w:tcPr>
          <w:p w14:paraId="0FD03A4A">
            <w:pPr>
              <w:jc w:val="right"/>
            </w:pPr>
            <w:r>
              <w:t>137.92</w:t>
            </w:r>
          </w:p>
        </w:tc>
      </w:tr>
      <w:tr w14:paraId="1F9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21E992DB">
            <w:r>
              <w:rPr>
                <w:rFonts w:hint="eastAsia"/>
              </w:rPr>
              <w:t>经营活动产生的现金流量净额</w:t>
            </w:r>
          </w:p>
        </w:tc>
        <w:tc>
          <w:tcPr>
            <w:tcW w:w="1958" w:type="dxa"/>
            <w:vAlign w:val="center"/>
          </w:tcPr>
          <w:p w14:paraId="6499C49B">
            <w:pPr>
              <w:jc w:val="center"/>
              <w:rPr>
                <w:highlight w:val="yellow"/>
              </w:rPr>
            </w:pPr>
            <w:r>
              <w:t>不适用</w:t>
            </w:r>
          </w:p>
        </w:tc>
        <w:tc>
          <w:tcPr>
            <w:tcW w:w="1246" w:type="dxa"/>
            <w:vAlign w:val="center"/>
          </w:tcPr>
          <w:p w14:paraId="4CE18AE6">
            <w:pPr>
              <w:jc w:val="center"/>
            </w:pPr>
            <w:r>
              <w:t>不适用</w:t>
            </w:r>
          </w:p>
        </w:tc>
        <w:tc>
          <w:tcPr>
            <w:tcW w:w="1686" w:type="dxa"/>
            <w:vAlign w:val="center"/>
          </w:tcPr>
          <w:p w14:paraId="02C87512">
            <w:pPr>
              <w:jc w:val="right"/>
            </w:pPr>
            <w:r>
              <w:t>380,247,605.21</w:t>
            </w:r>
          </w:p>
        </w:tc>
        <w:tc>
          <w:tcPr>
            <w:tcW w:w="1512" w:type="dxa"/>
            <w:vAlign w:val="center"/>
          </w:tcPr>
          <w:p w14:paraId="53FEEF38">
            <w:pPr>
              <w:jc w:val="right"/>
            </w:pPr>
            <w:r>
              <w:t>68.88</w:t>
            </w:r>
          </w:p>
        </w:tc>
      </w:tr>
      <w:tr w14:paraId="18FD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7FE64A37">
            <w:r>
              <w:rPr>
                <w:rFonts w:hint="eastAsia"/>
              </w:rPr>
              <w:t>基本每股收益（元/股）</w:t>
            </w:r>
          </w:p>
        </w:tc>
        <w:tc>
          <w:tcPr>
            <w:tcW w:w="1958" w:type="dxa"/>
            <w:vAlign w:val="center"/>
          </w:tcPr>
          <w:p w14:paraId="760CD6C9">
            <w:pPr>
              <w:jc w:val="right"/>
            </w:pPr>
            <w:r>
              <w:t>0.50</w:t>
            </w:r>
          </w:p>
        </w:tc>
        <w:tc>
          <w:tcPr>
            <w:tcW w:w="1246" w:type="dxa"/>
            <w:vAlign w:val="center"/>
          </w:tcPr>
          <w:p w14:paraId="0D6B3C91">
            <w:pPr>
              <w:jc w:val="right"/>
            </w:pPr>
            <w:r>
              <w:t>525.00</w:t>
            </w:r>
          </w:p>
        </w:tc>
        <w:tc>
          <w:tcPr>
            <w:tcW w:w="1686" w:type="dxa"/>
            <w:vAlign w:val="center"/>
          </w:tcPr>
          <w:p w14:paraId="551539EA">
            <w:pPr>
              <w:jc w:val="right"/>
            </w:pPr>
            <w:r>
              <w:t>0.61</w:t>
            </w:r>
          </w:p>
        </w:tc>
        <w:tc>
          <w:tcPr>
            <w:tcW w:w="1512" w:type="dxa"/>
            <w:vAlign w:val="center"/>
          </w:tcPr>
          <w:p w14:paraId="3AA00D9F">
            <w:pPr>
              <w:jc w:val="right"/>
            </w:pPr>
            <w:r>
              <w:t>不适用</w:t>
            </w:r>
          </w:p>
        </w:tc>
      </w:tr>
      <w:tr w14:paraId="6759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096FBD47">
            <w:r>
              <w:rPr>
                <w:rFonts w:hint="eastAsia"/>
              </w:rPr>
              <w:t>稀释每股收益（元/股）</w:t>
            </w:r>
          </w:p>
        </w:tc>
        <w:tc>
          <w:tcPr>
            <w:tcW w:w="1958" w:type="dxa"/>
            <w:vAlign w:val="center"/>
          </w:tcPr>
          <w:p w14:paraId="582CE447">
            <w:pPr>
              <w:jc w:val="right"/>
            </w:pPr>
            <w:r>
              <w:t>0.50</w:t>
            </w:r>
          </w:p>
        </w:tc>
        <w:tc>
          <w:tcPr>
            <w:tcW w:w="1246" w:type="dxa"/>
            <w:vAlign w:val="center"/>
          </w:tcPr>
          <w:p w14:paraId="6283B4E4">
            <w:pPr>
              <w:jc w:val="right"/>
            </w:pPr>
            <w:r>
              <w:t>525.00</w:t>
            </w:r>
          </w:p>
        </w:tc>
        <w:tc>
          <w:tcPr>
            <w:tcW w:w="1686" w:type="dxa"/>
            <w:vAlign w:val="center"/>
          </w:tcPr>
          <w:p w14:paraId="66CE625D">
            <w:pPr>
              <w:jc w:val="right"/>
            </w:pPr>
            <w:r>
              <w:t>0.61</w:t>
            </w:r>
          </w:p>
        </w:tc>
        <w:tc>
          <w:tcPr>
            <w:tcW w:w="1512" w:type="dxa"/>
            <w:vAlign w:val="center"/>
          </w:tcPr>
          <w:p w14:paraId="79F35651">
            <w:pPr>
              <w:jc w:val="right"/>
            </w:pPr>
            <w:r>
              <w:t>不适用</w:t>
            </w:r>
          </w:p>
        </w:tc>
      </w:tr>
      <w:tr w14:paraId="5FB9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45DD1BA6">
            <w:r>
              <w:rPr>
                <w:rFonts w:hint="eastAsia"/>
              </w:rPr>
              <w:t>加权平均净资产收益率</w:t>
            </w:r>
            <w:r>
              <w:t>（</w:t>
            </w:r>
            <w:r>
              <w:rPr>
                <w:rFonts w:hint="eastAsia"/>
              </w:rPr>
              <w:t>%</w:t>
            </w:r>
            <w:r>
              <w:t>）</w:t>
            </w:r>
          </w:p>
        </w:tc>
        <w:tc>
          <w:tcPr>
            <w:tcW w:w="1958" w:type="dxa"/>
            <w:vAlign w:val="center"/>
          </w:tcPr>
          <w:p w14:paraId="62F1EB3D">
            <w:pPr>
              <w:jc w:val="right"/>
            </w:pPr>
            <w:r>
              <w:t>14.91</w:t>
            </w:r>
          </w:p>
        </w:tc>
        <w:tc>
          <w:tcPr>
            <w:tcW w:w="1246" w:type="dxa"/>
            <w:vAlign w:val="center"/>
          </w:tcPr>
          <w:p w14:paraId="241FD44D">
            <w:pPr>
              <w:jc w:val="right"/>
            </w:pPr>
            <w:r>
              <w:rPr>
                <w:rFonts w:hint="eastAsia"/>
              </w:rPr>
              <w:t>增加12.39个百分点</w:t>
            </w:r>
          </w:p>
        </w:tc>
        <w:tc>
          <w:tcPr>
            <w:tcW w:w="1686" w:type="dxa"/>
            <w:vAlign w:val="center"/>
          </w:tcPr>
          <w:p w14:paraId="698C7EA2">
            <w:pPr>
              <w:jc w:val="right"/>
            </w:pPr>
            <w:r>
              <w:t>17.77</w:t>
            </w:r>
          </w:p>
        </w:tc>
        <w:tc>
          <w:tcPr>
            <w:tcW w:w="1512" w:type="dxa"/>
            <w:vAlign w:val="center"/>
          </w:tcPr>
          <w:p w14:paraId="539B5054">
            <w:pPr>
              <w:jc w:val="right"/>
            </w:pPr>
            <w:r>
              <w:rPr>
                <w:rFonts w:hint="eastAsia"/>
              </w:rPr>
              <w:t>增加18.73个百分点</w:t>
            </w:r>
          </w:p>
        </w:tc>
      </w:tr>
      <w:tr w14:paraId="689F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675C7558"/>
        </w:tc>
        <w:sdt>
          <w:sdtPr>
            <w:tag w:val="_PLD_f6c4ae82ae064b1b82a8bc744f160c06"/>
            <w:id w:val="1057828501"/>
          </w:sdtPr>
          <w:sdtContent>
            <w:tc>
              <w:tcPr>
                <w:tcW w:w="1958" w:type="dxa"/>
                <w:vAlign w:val="center"/>
              </w:tcPr>
              <w:p w14:paraId="7F2E4BC5">
                <w:pPr>
                  <w:jc w:val="center"/>
                </w:pPr>
                <w:r>
                  <w:rPr>
                    <w:rFonts w:hint="eastAsia"/>
                  </w:rPr>
                  <w:t>本报告期末</w:t>
                </w:r>
              </w:p>
            </w:tc>
          </w:sdtContent>
        </w:sdt>
        <w:sdt>
          <w:sdtPr>
            <w:tag w:val="_PLD_f85bddc7fab447fabd8b7e29f974da8d"/>
            <w:id w:val="1410574032"/>
          </w:sdtPr>
          <w:sdtContent>
            <w:tc>
              <w:tcPr>
                <w:tcW w:w="2932" w:type="dxa"/>
                <w:gridSpan w:val="2"/>
                <w:vAlign w:val="center"/>
              </w:tcPr>
              <w:p w14:paraId="4AA1A8C3">
                <w:pPr>
                  <w:jc w:val="center"/>
                </w:pPr>
                <w:r>
                  <w:rPr>
                    <w:rFonts w:hint="eastAsia"/>
                  </w:rPr>
                  <w:t>上年度末</w:t>
                </w:r>
              </w:p>
            </w:tc>
          </w:sdtContent>
        </w:sdt>
        <w:sdt>
          <w:sdtPr>
            <w:tag w:val="_PLD_3ae2f5fcae354a3da0333b3244ba14a9"/>
            <w:id w:val="-605655043"/>
          </w:sdtPr>
          <w:sdtContent>
            <w:tc>
              <w:tcPr>
                <w:tcW w:w="1512" w:type="dxa"/>
                <w:vAlign w:val="center"/>
              </w:tcPr>
              <w:p w14:paraId="7A38BA0E">
                <w:pPr>
                  <w:jc w:val="center"/>
                </w:pPr>
                <w:r>
                  <w:rPr>
                    <w:rFonts w:hint="eastAsia"/>
                  </w:rPr>
                  <w:t>本报告期末比上年度末增减变动幅度(%)</w:t>
                </w:r>
              </w:p>
            </w:tc>
          </w:sdtContent>
        </w:sdt>
      </w:tr>
      <w:tr w14:paraId="6E50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228E0B50">
            <w:r>
              <w:rPr>
                <w:rFonts w:hint="eastAsia"/>
              </w:rPr>
              <w:t>总资产</w:t>
            </w:r>
          </w:p>
        </w:tc>
        <w:tc>
          <w:tcPr>
            <w:tcW w:w="1958" w:type="dxa"/>
            <w:vAlign w:val="center"/>
          </w:tcPr>
          <w:p w14:paraId="5A2A79B7">
            <w:pPr>
              <w:jc w:val="right"/>
            </w:pPr>
            <w:r>
              <w:t>8,154,273,452.36</w:t>
            </w:r>
          </w:p>
        </w:tc>
        <w:tc>
          <w:tcPr>
            <w:tcW w:w="2932" w:type="dxa"/>
            <w:gridSpan w:val="2"/>
            <w:vAlign w:val="center"/>
          </w:tcPr>
          <w:p w14:paraId="67B44C22">
            <w:pPr>
              <w:jc w:val="right"/>
            </w:pPr>
            <w:r>
              <w:t>7,378,510,669.69</w:t>
            </w:r>
          </w:p>
        </w:tc>
        <w:tc>
          <w:tcPr>
            <w:tcW w:w="1512" w:type="dxa"/>
            <w:vAlign w:val="center"/>
          </w:tcPr>
          <w:p w14:paraId="17BA59B4">
            <w:pPr>
              <w:jc w:val="right"/>
            </w:pPr>
            <w:r>
              <w:t>10.51</w:t>
            </w:r>
          </w:p>
        </w:tc>
      </w:tr>
      <w:tr w14:paraId="1C59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105C9608">
            <w:r>
              <w:rPr>
                <w:rFonts w:hint="eastAsia"/>
              </w:rPr>
              <w:t>归属于上市公司股东的所有者权益</w:t>
            </w:r>
          </w:p>
        </w:tc>
        <w:tc>
          <w:tcPr>
            <w:tcW w:w="1958" w:type="dxa"/>
            <w:vAlign w:val="center"/>
          </w:tcPr>
          <w:p w14:paraId="68446118">
            <w:pPr>
              <w:jc w:val="right"/>
            </w:pPr>
            <w:r>
              <w:t>7,128,411,964.27</w:t>
            </w:r>
          </w:p>
        </w:tc>
        <w:tc>
          <w:tcPr>
            <w:tcW w:w="2932" w:type="dxa"/>
            <w:gridSpan w:val="2"/>
            <w:vAlign w:val="center"/>
          </w:tcPr>
          <w:p w14:paraId="2B900209">
            <w:pPr>
              <w:jc w:val="right"/>
            </w:pPr>
            <w:r>
              <w:t>6,383,540,358.15</w:t>
            </w:r>
          </w:p>
        </w:tc>
        <w:tc>
          <w:tcPr>
            <w:tcW w:w="1512" w:type="dxa"/>
            <w:vAlign w:val="center"/>
          </w:tcPr>
          <w:p w14:paraId="7FED18F2">
            <w:pPr>
              <w:jc w:val="right"/>
            </w:pPr>
            <w:r>
              <w:t>11.67</w:t>
            </w:r>
          </w:p>
        </w:tc>
      </w:tr>
    </w:tbl>
    <w:p w14:paraId="5D3667E0">
      <w:pPr>
        <w:spacing w:line="360" w:lineRule="auto"/>
        <w:rPr>
          <w:rFonts w:cs="宋体"/>
        </w:rPr>
      </w:pPr>
      <w:r>
        <w:rPr>
          <w:rFonts w:hint="eastAsia" w:cs="宋体"/>
        </w:rPr>
        <w:t>注：“本报告期”指本季度初至本季度末3个月期间，下同。</w:t>
      </w:r>
    </w:p>
    <w:p w14:paraId="6FDB5553">
      <w:pPr>
        <w:pStyle w:val="3"/>
        <w:numPr>
          <w:ilvl w:val="0"/>
          <w:numId w:val="3"/>
        </w:numPr>
        <w:tabs>
          <w:tab w:val="left" w:pos="360"/>
          <w:tab w:val="left" w:pos="728"/>
        </w:tabs>
        <w:spacing w:before="0" w:after="0" w:line="360" w:lineRule="auto"/>
      </w:pPr>
      <w:bookmarkStart w:id="3" w:name="_Hlk24640273"/>
      <w:bookmarkEnd w:id="3"/>
      <w:bookmarkStart w:id="4" w:name="_Hlk83628548"/>
      <w:bookmarkEnd w:id="4"/>
      <w:bookmarkStart w:id="5" w:name="_Hlk177137165"/>
      <w:bookmarkStart w:id="6" w:name="_Hlk176867619"/>
      <w:bookmarkStart w:id="7" w:name="_Hlk41554412"/>
      <w:r>
        <w:rPr>
          <w:rFonts w:hint="eastAsia"/>
        </w:rPr>
        <w:t>非经常性损益项目和金额</w:t>
      </w:r>
    </w:p>
    <w:sdt>
      <w:sdtPr>
        <w:alias w:val="是否适用：扣除非经常性损益项目和金额[双击切换]"/>
        <w:tag w:val="_GBC_448408c8f06d46b4a91a17fd3243f936"/>
        <w:id w:val="-1644652353"/>
        <w:placeholder>
          <w:docPart w:val="GBC22222222222222222222222222222"/>
        </w:placeholder>
      </w:sdtPr>
      <w:sdtContent>
        <w:p w14:paraId="2B2540EE">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A0CCD44">
      <w:pPr>
        <w:jc w:val="right"/>
      </w:pPr>
      <w:r>
        <w:rPr>
          <w:rFonts w:hint="eastAsia"/>
        </w:rPr>
        <w:t>单位:</w:t>
      </w:r>
      <w:sdt>
        <w:sdtPr>
          <w:rPr>
            <w:rFonts w:hint="eastAsia"/>
          </w:rPr>
          <w:alias w:val="单位：扣除非经常性损益项目和金额"/>
          <w:tag w:val="_GBC_a9fc9b449e8e4c6b98909fd2474bc0ae"/>
          <w:id w:val="1073090543"/>
          <w:placeholder>
            <w:docPart w:val="GBC22222222222222222222222222222"/>
          </w:placeholder>
          <w:dataBinding w:prefixMappings="xmlns:clcid-ci-qr='clcid-ci-qr'" w:xpath="/*/clcid-ci-qr:DanWeiKouChuFeiJingChangXingSunYiXiangMuHeJinE[not(@periodRef)]" w:storeItemID="{42DEBF9A-6816-48AE-BADD-E3125C474CD9}"/>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扣除非经常性损益项目和金额"/>
          <w:tag w:val="_GBC_70a8fc63f8754847b9bd8e7c4d7797f6"/>
          <w:id w:val="-1609416185"/>
          <w:placeholder>
            <w:docPart w:val="GBC22222222222222222222222222222"/>
          </w:placeholder>
          <w:dataBinding w:prefixMappings="xmlns:clcid-ci-qr='clcid-ci-qr'" w:xpath="/*/clcid-ci-qr:BiZhongKouChuFeiJingChangXingSunYiXiangMuHeJinE[not(@periodRef)]" w:storeItemID="{42DEBF9A-6816-48AE-BADD-E3125C474CD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9"/>
        <w:gridCol w:w="1734"/>
        <w:gridCol w:w="1884"/>
        <w:gridCol w:w="1882"/>
      </w:tblGrid>
      <w:tr w14:paraId="43AA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4ba2729985f3496a81cf5a9fc03aefc6"/>
            <w:id w:val="1210297006"/>
          </w:sdtPr>
          <w:sdtContent>
            <w:tc>
              <w:tcPr>
                <w:tcW w:w="1961" w:type="pct"/>
                <w:vAlign w:val="center"/>
              </w:tcPr>
              <w:p w14:paraId="23F6E88E">
                <w:pPr>
                  <w:pStyle w:val="62"/>
                  <w:ind w:firstLine="0" w:firstLineChars="0"/>
                  <w:jc w:val="center"/>
                </w:pPr>
                <w:r>
                  <w:rPr>
                    <w:rFonts w:hint="eastAsia"/>
                  </w:rPr>
                  <w:t>非经常性损益项目</w:t>
                </w:r>
              </w:p>
            </w:tc>
          </w:sdtContent>
        </w:sdt>
        <w:sdt>
          <w:sdtPr>
            <w:tag w:val="_PLD_13720f1557d949f583e6b075e0658b86"/>
            <w:id w:val="977342840"/>
          </w:sdtPr>
          <w:sdtContent>
            <w:tc>
              <w:tcPr>
                <w:tcW w:w="958" w:type="pct"/>
                <w:vAlign w:val="center"/>
              </w:tcPr>
              <w:p w14:paraId="72DA66A0">
                <w:pPr>
                  <w:pStyle w:val="62"/>
                  <w:ind w:firstLine="0" w:firstLineChars="0"/>
                  <w:jc w:val="center"/>
                </w:pPr>
                <w:r>
                  <w:rPr>
                    <w:rFonts w:hint="eastAsia"/>
                  </w:rPr>
                  <w:t>本期金额</w:t>
                </w:r>
              </w:p>
            </w:tc>
          </w:sdtContent>
        </w:sdt>
        <w:tc>
          <w:tcPr>
            <w:tcW w:w="1041" w:type="pct"/>
            <w:vAlign w:val="center"/>
          </w:tcPr>
          <w:sdt>
            <w:sdtPr>
              <w:tag w:val="_PLD_0b7caf307d744e629b3659af37d72358"/>
              <w:id w:val="1853305123"/>
            </w:sdtPr>
            <w:sdtContent>
              <w:p w14:paraId="2C0F2C0F">
                <w:pPr>
                  <w:pStyle w:val="62"/>
                  <w:ind w:firstLine="0" w:firstLineChars="0"/>
                  <w:jc w:val="center"/>
                </w:pPr>
                <w:r>
                  <w:rPr>
                    <w:rFonts w:hint="eastAsia"/>
                  </w:rPr>
                  <w:t>年初至报告期末金额</w:t>
                </w:r>
              </w:p>
            </w:sdtContent>
          </w:sdt>
        </w:tc>
        <w:sdt>
          <w:sdtPr>
            <w:tag w:val="_PLD_88695fd8518146128685237353420405"/>
            <w:id w:val="1575168317"/>
          </w:sdtPr>
          <w:sdtContent>
            <w:tc>
              <w:tcPr>
                <w:tcW w:w="1040" w:type="pct"/>
                <w:vAlign w:val="center"/>
              </w:tcPr>
              <w:p w14:paraId="223656FD">
                <w:pPr>
                  <w:pStyle w:val="62"/>
                  <w:ind w:firstLine="0" w:firstLineChars="0"/>
                  <w:jc w:val="center"/>
                </w:pPr>
                <w:r>
                  <w:rPr>
                    <w:rFonts w:hint="eastAsia"/>
                  </w:rPr>
                  <w:t>说明</w:t>
                </w:r>
              </w:p>
            </w:tc>
          </w:sdtContent>
        </w:sdt>
      </w:tr>
      <w:tr w14:paraId="5704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004647C8">
            <w:pPr>
              <w:pStyle w:val="62"/>
              <w:ind w:firstLine="0" w:firstLineChars="0"/>
            </w:pPr>
            <w:r>
              <w:t>非流动</w:t>
            </w:r>
            <w:r>
              <w:rPr>
                <w:rFonts w:hint="eastAsia"/>
              </w:rPr>
              <w:t>性</w:t>
            </w:r>
            <w:r>
              <w:t>资产处置损益</w:t>
            </w:r>
            <w:r>
              <w:rPr>
                <w:rFonts w:hint="eastAsia"/>
              </w:rPr>
              <w:t>，包括已计提资产减值准备的冲销部分</w:t>
            </w:r>
          </w:p>
        </w:tc>
        <w:tc>
          <w:tcPr>
            <w:tcW w:w="958" w:type="pct"/>
            <w:vAlign w:val="center"/>
          </w:tcPr>
          <w:p w14:paraId="243742D6">
            <w:pPr>
              <w:jc w:val="right"/>
            </w:pPr>
            <w:r>
              <w:t>1,108,201,143.98</w:t>
            </w:r>
          </w:p>
        </w:tc>
        <w:tc>
          <w:tcPr>
            <w:tcW w:w="1041" w:type="pct"/>
            <w:vAlign w:val="center"/>
          </w:tcPr>
          <w:p w14:paraId="38CAA5F8">
            <w:pPr>
              <w:jc w:val="right"/>
            </w:pPr>
            <w:r>
              <w:t>1,108,202,886.77</w:t>
            </w:r>
          </w:p>
        </w:tc>
        <w:tc>
          <w:tcPr>
            <w:tcW w:w="1040" w:type="pct"/>
            <w:vAlign w:val="center"/>
          </w:tcPr>
          <w:p w14:paraId="3CB90691"/>
        </w:tc>
      </w:tr>
      <w:tr w14:paraId="1AE4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59B06ED3">
            <w:pPr>
              <w:pStyle w:val="62"/>
              <w:ind w:firstLine="0" w:firstLineChars="0"/>
            </w:pPr>
            <w:r>
              <w:t>计入当期损益的政府补助</w:t>
            </w:r>
            <w:r>
              <w:rPr>
                <w:rFonts w:hint="eastAsia"/>
              </w:rPr>
              <w:t>，但与公司正常经营业务密切相关、符合国家政策规定、按照确定的标准享有、对公司损益产生持续影响的政府补助除外</w:t>
            </w:r>
          </w:p>
        </w:tc>
        <w:tc>
          <w:tcPr>
            <w:tcW w:w="958" w:type="pct"/>
            <w:vAlign w:val="center"/>
          </w:tcPr>
          <w:p w14:paraId="7826E0BA">
            <w:pPr>
              <w:jc w:val="right"/>
            </w:pPr>
            <w:r>
              <w:t>1,649,335.23</w:t>
            </w:r>
          </w:p>
        </w:tc>
        <w:tc>
          <w:tcPr>
            <w:tcW w:w="1041" w:type="pct"/>
            <w:vAlign w:val="center"/>
          </w:tcPr>
          <w:p w14:paraId="42983B77">
            <w:pPr>
              <w:jc w:val="right"/>
            </w:pPr>
            <w:r>
              <w:t>2,498,005.69</w:t>
            </w:r>
          </w:p>
        </w:tc>
        <w:tc>
          <w:tcPr>
            <w:tcW w:w="1040" w:type="pct"/>
            <w:vAlign w:val="center"/>
          </w:tcPr>
          <w:p w14:paraId="6DDC16A4"/>
        </w:tc>
      </w:tr>
      <w:tr w14:paraId="2C1A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3F5A0C78">
            <w:pPr>
              <w:pStyle w:val="62"/>
              <w:ind w:firstLine="0" w:firstLineChars="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958" w:type="pct"/>
            <w:vAlign w:val="center"/>
          </w:tcPr>
          <w:p w14:paraId="6466408B">
            <w:pPr>
              <w:jc w:val="right"/>
            </w:pPr>
          </w:p>
        </w:tc>
        <w:tc>
          <w:tcPr>
            <w:tcW w:w="1041" w:type="pct"/>
            <w:vAlign w:val="center"/>
          </w:tcPr>
          <w:p w14:paraId="3314F552">
            <w:pPr>
              <w:jc w:val="right"/>
            </w:pPr>
          </w:p>
        </w:tc>
        <w:tc>
          <w:tcPr>
            <w:tcW w:w="1040" w:type="pct"/>
            <w:vAlign w:val="center"/>
          </w:tcPr>
          <w:p w14:paraId="2B0E10BC">
            <w:r>
              <w:rPr>
                <w:rFonts w:hint="eastAsia"/>
              </w:rPr>
              <w:t>　</w:t>
            </w:r>
          </w:p>
        </w:tc>
      </w:tr>
      <w:tr w14:paraId="564B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6278B903">
            <w:pPr>
              <w:pStyle w:val="62"/>
              <w:ind w:firstLine="0" w:firstLineChars="0"/>
            </w:pPr>
            <w:r>
              <w:t>计入当期损益的对非金融企业收取的资金占用费</w:t>
            </w:r>
          </w:p>
        </w:tc>
        <w:tc>
          <w:tcPr>
            <w:tcW w:w="958" w:type="pct"/>
            <w:vAlign w:val="center"/>
          </w:tcPr>
          <w:p w14:paraId="0D1D1273">
            <w:pPr>
              <w:jc w:val="right"/>
            </w:pPr>
          </w:p>
        </w:tc>
        <w:tc>
          <w:tcPr>
            <w:tcW w:w="1041" w:type="pct"/>
            <w:vAlign w:val="center"/>
          </w:tcPr>
          <w:p w14:paraId="05FC44F5">
            <w:pPr>
              <w:jc w:val="right"/>
            </w:pPr>
          </w:p>
        </w:tc>
        <w:tc>
          <w:tcPr>
            <w:tcW w:w="1040" w:type="pct"/>
            <w:vAlign w:val="center"/>
          </w:tcPr>
          <w:p w14:paraId="02B25498"/>
        </w:tc>
      </w:tr>
      <w:tr w14:paraId="3BCA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4B6CADC6">
            <w:pPr>
              <w:pStyle w:val="62"/>
              <w:ind w:firstLine="0" w:firstLineChars="0"/>
            </w:pPr>
            <w:r>
              <w:t>委托他人投资或管理资产的损益</w:t>
            </w:r>
          </w:p>
        </w:tc>
        <w:tc>
          <w:tcPr>
            <w:tcW w:w="958" w:type="pct"/>
            <w:vAlign w:val="center"/>
          </w:tcPr>
          <w:p w14:paraId="2AAB0F0A">
            <w:pPr>
              <w:jc w:val="right"/>
            </w:pPr>
          </w:p>
        </w:tc>
        <w:tc>
          <w:tcPr>
            <w:tcW w:w="1041" w:type="pct"/>
            <w:vAlign w:val="center"/>
          </w:tcPr>
          <w:p w14:paraId="53F46B3E">
            <w:pPr>
              <w:jc w:val="right"/>
            </w:pPr>
          </w:p>
        </w:tc>
        <w:tc>
          <w:tcPr>
            <w:tcW w:w="1040" w:type="pct"/>
            <w:vAlign w:val="center"/>
          </w:tcPr>
          <w:p w14:paraId="37B1631B"/>
        </w:tc>
      </w:tr>
      <w:tr w14:paraId="09EF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7A5FBE45">
            <w:pPr>
              <w:pStyle w:val="62"/>
              <w:ind w:firstLine="0" w:firstLineChars="0"/>
            </w:pPr>
            <w:r>
              <w:t>对外委托贷款取得的损益</w:t>
            </w:r>
          </w:p>
        </w:tc>
        <w:tc>
          <w:tcPr>
            <w:tcW w:w="958" w:type="pct"/>
            <w:vAlign w:val="center"/>
          </w:tcPr>
          <w:p w14:paraId="3EAAC855">
            <w:pPr>
              <w:jc w:val="right"/>
            </w:pPr>
          </w:p>
        </w:tc>
        <w:tc>
          <w:tcPr>
            <w:tcW w:w="1041" w:type="pct"/>
            <w:vAlign w:val="center"/>
          </w:tcPr>
          <w:p w14:paraId="2A959DB0">
            <w:pPr>
              <w:jc w:val="right"/>
            </w:pPr>
          </w:p>
        </w:tc>
        <w:tc>
          <w:tcPr>
            <w:tcW w:w="1040" w:type="pct"/>
            <w:vAlign w:val="center"/>
          </w:tcPr>
          <w:p w14:paraId="4230B731"/>
        </w:tc>
      </w:tr>
      <w:tr w14:paraId="2F02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20DCB690">
            <w:pPr>
              <w:pStyle w:val="62"/>
              <w:ind w:firstLine="0" w:firstLineChars="0"/>
            </w:pPr>
            <w:r>
              <w:t>因不可抗力因</w:t>
            </w:r>
            <w:r>
              <w:rPr>
                <w:rFonts w:hint="eastAsia"/>
              </w:rPr>
              <w:t>素，如遭受自然灾害而产生的各项资产损失</w:t>
            </w:r>
          </w:p>
        </w:tc>
        <w:tc>
          <w:tcPr>
            <w:tcW w:w="958" w:type="pct"/>
            <w:vAlign w:val="center"/>
          </w:tcPr>
          <w:p w14:paraId="6EF14F84">
            <w:pPr>
              <w:jc w:val="right"/>
            </w:pPr>
          </w:p>
        </w:tc>
        <w:tc>
          <w:tcPr>
            <w:tcW w:w="1041" w:type="pct"/>
            <w:vAlign w:val="center"/>
          </w:tcPr>
          <w:p w14:paraId="7709F64E">
            <w:pPr>
              <w:jc w:val="right"/>
            </w:pPr>
          </w:p>
        </w:tc>
        <w:tc>
          <w:tcPr>
            <w:tcW w:w="1040" w:type="pct"/>
            <w:vAlign w:val="center"/>
          </w:tcPr>
          <w:p w14:paraId="48C82225"/>
        </w:tc>
      </w:tr>
      <w:tr w14:paraId="335C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74C93839">
            <w:pPr>
              <w:pStyle w:val="62"/>
              <w:ind w:firstLine="0" w:firstLineChars="0"/>
            </w:pPr>
            <w:r>
              <w:rPr>
                <w:rFonts w:hint="eastAsia"/>
              </w:rPr>
              <w:t>单独进行减值测试的应收款项减值准备转回</w:t>
            </w:r>
          </w:p>
        </w:tc>
        <w:tc>
          <w:tcPr>
            <w:tcW w:w="958" w:type="pct"/>
            <w:vAlign w:val="center"/>
          </w:tcPr>
          <w:p w14:paraId="5CE274F5">
            <w:pPr>
              <w:jc w:val="right"/>
            </w:pPr>
          </w:p>
        </w:tc>
        <w:tc>
          <w:tcPr>
            <w:tcW w:w="1041" w:type="pct"/>
            <w:vAlign w:val="center"/>
          </w:tcPr>
          <w:p w14:paraId="2DF32AFD">
            <w:pPr>
              <w:jc w:val="right"/>
            </w:pPr>
          </w:p>
        </w:tc>
        <w:tc>
          <w:tcPr>
            <w:tcW w:w="1040" w:type="pct"/>
            <w:vAlign w:val="center"/>
          </w:tcPr>
          <w:p w14:paraId="20CDE560">
            <w:r>
              <w:rPr>
                <w:rFonts w:hint="eastAsia"/>
              </w:rPr>
              <w:t>　</w:t>
            </w:r>
          </w:p>
        </w:tc>
      </w:tr>
      <w:tr w14:paraId="1FCF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36A1AD4A">
            <w:pPr>
              <w:pStyle w:val="62"/>
              <w:ind w:firstLine="0" w:firstLineChars="0"/>
            </w:pPr>
            <w:r>
              <w:t>企业取得子公司、联营企业及合营企业的投资成本小于取得投资时应享有被投资单位可辨认净资产公允价值产生的收益</w:t>
            </w:r>
          </w:p>
        </w:tc>
        <w:tc>
          <w:tcPr>
            <w:tcW w:w="958" w:type="pct"/>
            <w:vAlign w:val="center"/>
          </w:tcPr>
          <w:p w14:paraId="0A21190F">
            <w:pPr>
              <w:jc w:val="right"/>
            </w:pPr>
          </w:p>
        </w:tc>
        <w:tc>
          <w:tcPr>
            <w:tcW w:w="1041" w:type="pct"/>
            <w:vAlign w:val="center"/>
          </w:tcPr>
          <w:p w14:paraId="08D8A497">
            <w:pPr>
              <w:jc w:val="right"/>
            </w:pPr>
          </w:p>
        </w:tc>
        <w:tc>
          <w:tcPr>
            <w:tcW w:w="1040" w:type="pct"/>
            <w:vAlign w:val="center"/>
          </w:tcPr>
          <w:p w14:paraId="3FCB4BF7"/>
        </w:tc>
      </w:tr>
      <w:tr w14:paraId="334C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1" w:type="pct"/>
          </w:tcPr>
          <w:p w14:paraId="727C0533">
            <w:pPr>
              <w:pStyle w:val="62"/>
              <w:ind w:firstLine="0" w:firstLineChars="0"/>
            </w:pPr>
            <w:r>
              <w:t>同一控制下企业合并产生的子公司期初至合并日的当期净损益</w:t>
            </w:r>
          </w:p>
        </w:tc>
        <w:tc>
          <w:tcPr>
            <w:tcW w:w="958" w:type="pct"/>
            <w:vAlign w:val="center"/>
          </w:tcPr>
          <w:p w14:paraId="44915FC3">
            <w:pPr>
              <w:jc w:val="right"/>
            </w:pPr>
          </w:p>
        </w:tc>
        <w:tc>
          <w:tcPr>
            <w:tcW w:w="1041" w:type="pct"/>
            <w:vAlign w:val="center"/>
          </w:tcPr>
          <w:p w14:paraId="5104EC26">
            <w:pPr>
              <w:jc w:val="right"/>
            </w:pPr>
          </w:p>
        </w:tc>
        <w:tc>
          <w:tcPr>
            <w:tcW w:w="1040" w:type="pct"/>
            <w:vAlign w:val="center"/>
          </w:tcPr>
          <w:p w14:paraId="3DB74F66"/>
        </w:tc>
      </w:tr>
      <w:tr w14:paraId="210D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54FA7740">
            <w:pPr>
              <w:pStyle w:val="62"/>
              <w:ind w:firstLine="0" w:firstLineChars="0"/>
            </w:pPr>
            <w:r>
              <w:t>非货币性资产交换损益</w:t>
            </w:r>
          </w:p>
        </w:tc>
        <w:tc>
          <w:tcPr>
            <w:tcW w:w="958" w:type="pct"/>
            <w:vAlign w:val="center"/>
          </w:tcPr>
          <w:p w14:paraId="36A47FFD">
            <w:pPr>
              <w:jc w:val="right"/>
            </w:pPr>
          </w:p>
        </w:tc>
        <w:tc>
          <w:tcPr>
            <w:tcW w:w="1041" w:type="pct"/>
            <w:vAlign w:val="center"/>
          </w:tcPr>
          <w:p w14:paraId="012848EE">
            <w:pPr>
              <w:jc w:val="right"/>
            </w:pPr>
          </w:p>
        </w:tc>
        <w:tc>
          <w:tcPr>
            <w:tcW w:w="1040" w:type="pct"/>
            <w:vAlign w:val="center"/>
          </w:tcPr>
          <w:p w14:paraId="7AE093AB"/>
        </w:tc>
      </w:tr>
      <w:tr w14:paraId="3AC8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105C60BA">
            <w:pPr>
              <w:pStyle w:val="62"/>
              <w:ind w:firstLine="0" w:firstLineChars="0"/>
            </w:pPr>
            <w:r>
              <w:t>债务重组损益</w:t>
            </w:r>
          </w:p>
        </w:tc>
        <w:tc>
          <w:tcPr>
            <w:tcW w:w="958" w:type="pct"/>
            <w:vAlign w:val="center"/>
          </w:tcPr>
          <w:p w14:paraId="3607EE59">
            <w:pPr>
              <w:jc w:val="right"/>
            </w:pPr>
          </w:p>
        </w:tc>
        <w:tc>
          <w:tcPr>
            <w:tcW w:w="1041" w:type="pct"/>
            <w:vAlign w:val="center"/>
          </w:tcPr>
          <w:p w14:paraId="6BF17606">
            <w:pPr>
              <w:jc w:val="right"/>
            </w:pPr>
          </w:p>
        </w:tc>
        <w:tc>
          <w:tcPr>
            <w:tcW w:w="1040" w:type="pct"/>
            <w:vAlign w:val="center"/>
          </w:tcPr>
          <w:p w14:paraId="1757A79E"/>
        </w:tc>
      </w:tr>
      <w:tr w14:paraId="3F45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51ED29E9">
            <w:pPr>
              <w:pStyle w:val="62"/>
              <w:ind w:firstLine="0" w:firstLineChars="0"/>
            </w:pPr>
            <w:r>
              <w:t>企业</w:t>
            </w:r>
            <w:r>
              <w:rPr>
                <w:rFonts w:hint="eastAsia"/>
              </w:rPr>
              <w:t>因相关经营活动不再持续而发生的一次性费用，如安置职工的支出等</w:t>
            </w:r>
          </w:p>
        </w:tc>
        <w:tc>
          <w:tcPr>
            <w:tcW w:w="958" w:type="pct"/>
            <w:vAlign w:val="center"/>
          </w:tcPr>
          <w:p w14:paraId="3BC82158">
            <w:pPr>
              <w:jc w:val="right"/>
            </w:pPr>
          </w:p>
        </w:tc>
        <w:tc>
          <w:tcPr>
            <w:tcW w:w="1041" w:type="pct"/>
            <w:vAlign w:val="center"/>
          </w:tcPr>
          <w:p w14:paraId="137943AF">
            <w:pPr>
              <w:jc w:val="right"/>
            </w:pPr>
          </w:p>
        </w:tc>
        <w:tc>
          <w:tcPr>
            <w:tcW w:w="1040" w:type="pct"/>
            <w:vAlign w:val="center"/>
          </w:tcPr>
          <w:p w14:paraId="6F29D4D1"/>
        </w:tc>
      </w:tr>
      <w:tr w14:paraId="1AD4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65BF43DF">
            <w:pPr>
              <w:pStyle w:val="62"/>
              <w:ind w:firstLine="0" w:firstLineChars="0"/>
            </w:pPr>
            <w:r>
              <w:t>因税收、会计等法律、法规</w:t>
            </w:r>
            <w:r>
              <w:rPr>
                <w:rFonts w:hint="eastAsia"/>
              </w:rPr>
              <w:t>的调整对当期损益产生的一次性影响</w:t>
            </w:r>
          </w:p>
        </w:tc>
        <w:tc>
          <w:tcPr>
            <w:tcW w:w="958" w:type="pct"/>
            <w:vAlign w:val="center"/>
          </w:tcPr>
          <w:p w14:paraId="6F82C3AA">
            <w:pPr>
              <w:jc w:val="right"/>
            </w:pPr>
          </w:p>
        </w:tc>
        <w:tc>
          <w:tcPr>
            <w:tcW w:w="1041" w:type="pct"/>
            <w:vAlign w:val="center"/>
          </w:tcPr>
          <w:p w14:paraId="197E4D47">
            <w:pPr>
              <w:jc w:val="right"/>
            </w:pPr>
          </w:p>
        </w:tc>
        <w:tc>
          <w:tcPr>
            <w:tcW w:w="1040" w:type="pct"/>
            <w:vAlign w:val="center"/>
          </w:tcPr>
          <w:p w14:paraId="09541A66"/>
        </w:tc>
      </w:tr>
      <w:tr w14:paraId="226B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3066EAD0">
            <w:pPr>
              <w:pStyle w:val="62"/>
              <w:ind w:firstLine="0" w:firstLineChars="0"/>
            </w:pPr>
            <w:r>
              <w:t>因取消、修改股权激励计划一次性确认的股份支付费用</w:t>
            </w:r>
          </w:p>
        </w:tc>
        <w:tc>
          <w:tcPr>
            <w:tcW w:w="958" w:type="pct"/>
            <w:vAlign w:val="center"/>
          </w:tcPr>
          <w:p w14:paraId="10FE52B3">
            <w:pPr>
              <w:jc w:val="right"/>
            </w:pPr>
          </w:p>
        </w:tc>
        <w:tc>
          <w:tcPr>
            <w:tcW w:w="1041" w:type="pct"/>
            <w:vAlign w:val="center"/>
          </w:tcPr>
          <w:p w14:paraId="17366823">
            <w:pPr>
              <w:jc w:val="right"/>
            </w:pPr>
          </w:p>
        </w:tc>
        <w:tc>
          <w:tcPr>
            <w:tcW w:w="1040" w:type="pct"/>
            <w:vAlign w:val="center"/>
          </w:tcPr>
          <w:p w14:paraId="4C9D5648"/>
        </w:tc>
      </w:tr>
      <w:tr w14:paraId="27BA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23EC73F5">
            <w:pPr>
              <w:pStyle w:val="62"/>
              <w:ind w:firstLine="0" w:firstLineChars="0"/>
            </w:pPr>
            <w:r>
              <w:t>对于现金结算的股份支付，在可行权日之后，应付职工薪酬的公允价值变动产生的损益</w:t>
            </w:r>
          </w:p>
        </w:tc>
        <w:tc>
          <w:tcPr>
            <w:tcW w:w="958" w:type="pct"/>
            <w:vAlign w:val="center"/>
          </w:tcPr>
          <w:p w14:paraId="53CCCCE4">
            <w:pPr>
              <w:jc w:val="right"/>
            </w:pPr>
          </w:p>
        </w:tc>
        <w:tc>
          <w:tcPr>
            <w:tcW w:w="1041" w:type="pct"/>
            <w:vAlign w:val="center"/>
          </w:tcPr>
          <w:p w14:paraId="21DC77BC">
            <w:pPr>
              <w:jc w:val="right"/>
            </w:pPr>
          </w:p>
        </w:tc>
        <w:tc>
          <w:tcPr>
            <w:tcW w:w="1040" w:type="pct"/>
            <w:vAlign w:val="center"/>
          </w:tcPr>
          <w:p w14:paraId="5AB1AB66"/>
        </w:tc>
      </w:tr>
      <w:tr w14:paraId="5FBF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08106222">
            <w:pPr>
              <w:pStyle w:val="62"/>
              <w:ind w:firstLine="0" w:firstLineChars="0"/>
            </w:pPr>
            <w:r>
              <w:t>采用公允价值模式进行后续计量的投资性房地产公允价值变动产生的损益</w:t>
            </w:r>
          </w:p>
        </w:tc>
        <w:tc>
          <w:tcPr>
            <w:tcW w:w="958" w:type="pct"/>
            <w:vAlign w:val="center"/>
          </w:tcPr>
          <w:p w14:paraId="1CB58D4E">
            <w:pPr>
              <w:jc w:val="right"/>
            </w:pPr>
          </w:p>
        </w:tc>
        <w:tc>
          <w:tcPr>
            <w:tcW w:w="1041" w:type="pct"/>
            <w:vAlign w:val="center"/>
          </w:tcPr>
          <w:p w14:paraId="3CF1030C">
            <w:pPr>
              <w:jc w:val="right"/>
            </w:pPr>
          </w:p>
        </w:tc>
        <w:tc>
          <w:tcPr>
            <w:tcW w:w="1040" w:type="pct"/>
            <w:vAlign w:val="center"/>
          </w:tcPr>
          <w:p w14:paraId="56AA9BFD"/>
        </w:tc>
      </w:tr>
      <w:tr w14:paraId="5395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03E6E173">
            <w:pPr>
              <w:pStyle w:val="62"/>
              <w:ind w:firstLine="0" w:firstLineChars="0"/>
            </w:pPr>
            <w:r>
              <w:rPr>
                <w:rFonts w:hint="eastAsia"/>
              </w:rPr>
              <w:t>交易价格显失公允的交易产生的收益</w:t>
            </w:r>
          </w:p>
        </w:tc>
        <w:tc>
          <w:tcPr>
            <w:tcW w:w="958" w:type="pct"/>
            <w:vAlign w:val="center"/>
          </w:tcPr>
          <w:p w14:paraId="581FA67B">
            <w:pPr>
              <w:jc w:val="right"/>
            </w:pPr>
          </w:p>
        </w:tc>
        <w:tc>
          <w:tcPr>
            <w:tcW w:w="1041" w:type="pct"/>
            <w:vAlign w:val="center"/>
          </w:tcPr>
          <w:p w14:paraId="65873656">
            <w:pPr>
              <w:jc w:val="right"/>
            </w:pPr>
          </w:p>
        </w:tc>
        <w:tc>
          <w:tcPr>
            <w:tcW w:w="1040" w:type="pct"/>
            <w:vAlign w:val="center"/>
          </w:tcPr>
          <w:p w14:paraId="52E50ECF"/>
        </w:tc>
      </w:tr>
      <w:tr w14:paraId="71E1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71D84F55">
            <w:pPr>
              <w:pStyle w:val="62"/>
              <w:ind w:firstLine="0" w:firstLineChars="0"/>
            </w:pPr>
            <w:r>
              <w:t>与公司正常经营业务无关的或有事项产生的损益</w:t>
            </w:r>
          </w:p>
        </w:tc>
        <w:tc>
          <w:tcPr>
            <w:tcW w:w="958" w:type="pct"/>
            <w:vAlign w:val="center"/>
          </w:tcPr>
          <w:p w14:paraId="739E0134">
            <w:pPr>
              <w:jc w:val="right"/>
            </w:pPr>
          </w:p>
        </w:tc>
        <w:tc>
          <w:tcPr>
            <w:tcW w:w="1041" w:type="pct"/>
            <w:vAlign w:val="center"/>
          </w:tcPr>
          <w:p w14:paraId="2D8424DE">
            <w:pPr>
              <w:jc w:val="right"/>
            </w:pPr>
          </w:p>
        </w:tc>
        <w:tc>
          <w:tcPr>
            <w:tcW w:w="1040" w:type="pct"/>
            <w:vAlign w:val="center"/>
          </w:tcPr>
          <w:p w14:paraId="00F3B9C3"/>
        </w:tc>
      </w:tr>
      <w:tr w14:paraId="0C71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1" w:type="pct"/>
          </w:tcPr>
          <w:p w14:paraId="561EB1C7">
            <w:pPr>
              <w:pStyle w:val="62"/>
              <w:ind w:firstLine="0" w:firstLineChars="0"/>
            </w:pPr>
            <w:r>
              <w:t>受托经营取得的托管费收入</w:t>
            </w:r>
          </w:p>
        </w:tc>
        <w:tc>
          <w:tcPr>
            <w:tcW w:w="958" w:type="pct"/>
            <w:vAlign w:val="center"/>
          </w:tcPr>
          <w:p w14:paraId="5E588473">
            <w:pPr>
              <w:jc w:val="right"/>
            </w:pPr>
          </w:p>
        </w:tc>
        <w:tc>
          <w:tcPr>
            <w:tcW w:w="1041" w:type="pct"/>
            <w:vAlign w:val="center"/>
          </w:tcPr>
          <w:p w14:paraId="26672A3D">
            <w:pPr>
              <w:jc w:val="right"/>
            </w:pPr>
          </w:p>
        </w:tc>
        <w:tc>
          <w:tcPr>
            <w:tcW w:w="1040" w:type="pct"/>
            <w:vAlign w:val="center"/>
          </w:tcPr>
          <w:p w14:paraId="05F2C4EF"/>
        </w:tc>
      </w:tr>
      <w:tr w14:paraId="1114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29E32F26">
            <w:pPr>
              <w:pStyle w:val="62"/>
              <w:ind w:firstLine="0" w:firstLineChars="0"/>
            </w:pPr>
            <w:r>
              <w:t>除上述各项之外的其他营业外收入和支出</w:t>
            </w:r>
          </w:p>
        </w:tc>
        <w:tc>
          <w:tcPr>
            <w:tcW w:w="958" w:type="pct"/>
            <w:vAlign w:val="center"/>
          </w:tcPr>
          <w:p w14:paraId="78AEFEAD">
            <w:pPr>
              <w:jc w:val="right"/>
            </w:pPr>
            <w:r>
              <w:t>-48,716,042.41</w:t>
            </w:r>
          </w:p>
        </w:tc>
        <w:tc>
          <w:tcPr>
            <w:tcW w:w="1041" w:type="pct"/>
            <w:vAlign w:val="center"/>
          </w:tcPr>
          <w:p w14:paraId="0A1458E9">
            <w:pPr>
              <w:jc w:val="right"/>
            </w:pPr>
            <w:r>
              <w:t>-52,193,471.58</w:t>
            </w:r>
          </w:p>
        </w:tc>
        <w:tc>
          <w:tcPr>
            <w:tcW w:w="1040" w:type="pct"/>
            <w:vAlign w:val="center"/>
          </w:tcPr>
          <w:p w14:paraId="04D1E031"/>
        </w:tc>
      </w:tr>
      <w:tr w14:paraId="6FB9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2EBDA6E7">
            <w:pPr>
              <w:pStyle w:val="62"/>
              <w:ind w:firstLine="0" w:firstLineChars="0"/>
            </w:pPr>
            <w:r>
              <w:t>其他符合非经常性损益定义的损益项目</w:t>
            </w:r>
          </w:p>
        </w:tc>
        <w:tc>
          <w:tcPr>
            <w:tcW w:w="958" w:type="pct"/>
            <w:vAlign w:val="center"/>
          </w:tcPr>
          <w:p w14:paraId="29871400">
            <w:pPr>
              <w:jc w:val="right"/>
            </w:pPr>
            <w:r>
              <w:t>-1,663,656.22</w:t>
            </w:r>
          </w:p>
        </w:tc>
        <w:tc>
          <w:tcPr>
            <w:tcW w:w="1041" w:type="pct"/>
            <w:vAlign w:val="center"/>
          </w:tcPr>
          <w:p w14:paraId="65A8138B">
            <w:pPr>
              <w:jc w:val="right"/>
            </w:pPr>
            <w:r>
              <w:t>-2,215,794.54</w:t>
            </w:r>
          </w:p>
        </w:tc>
        <w:tc>
          <w:tcPr>
            <w:tcW w:w="1040" w:type="pct"/>
            <w:vAlign w:val="center"/>
          </w:tcPr>
          <w:p w14:paraId="2EF33892"/>
        </w:tc>
      </w:tr>
      <w:tr w14:paraId="1CEF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2C6CECA2">
            <w:pPr>
              <w:pStyle w:val="62"/>
              <w:ind w:firstLine="0" w:firstLineChars="0"/>
            </w:pPr>
            <w:r>
              <w:rPr>
                <w:rFonts w:hint="eastAsia"/>
              </w:rPr>
              <w:t>减：</w:t>
            </w:r>
            <w:r>
              <w:t>所得税影响额</w:t>
            </w:r>
          </w:p>
        </w:tc>
        <w:tc>
          <w:tcPr>
            <w:tcW w:w="958" w:type="pct"/>
            <w:vAlign w:val="center"/>
          </w:tcPr>
          <w:p w14:paraId="23363708">
            <w:pPr>
              <w:jc w:val="right"/>
            </w:pPr>
            <w:r>
              <w:t>175,538,711.76</w:t>
            </w:r>
          </w:p>
        </w:tc>
        <w:tc>
          <w:tcPr>
            <w:tcW w:w="1041" w:type="pct"/>
            <w:vAlign w:val="center"/>
          </w:tcPr>
          <w:p w14:paraId="3B34CB53">
            <w:pPr>
              <w:jc w:val="right"/>
            </w:pPr>
            <w:r>
              <w:t>175,445,038.14</w:t>
            </w:r>
          </w:p>
        </w:tc>
        <w:tc>
          <w:tcPr>
            <w:tcW w:w="1040" w:type="pct"/>
            <w:vAlign w:val="center"/>
          </w:tcPr>
          <w:p w14:paraId="75518C1B"/>
        </w:tc>
      </w:tr>
      <w:tr w14:paraId="0838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1" w:type="pct"/>
          </w:tcPr>
          <w:p w14:paraId="4D79E0A4">
            <w:pPr>
              <w:pStyle w:val="62"/>
            </w:pPr>
            <w:r>
              <w:t>少数股东权益影响额</w:t>
            </w:r>
            <w:r>
              <w:rPr>
                <w:rFonts w:hint="eastAsia"/>
              </w:rPr>
              <w:t>（税后）</w:t>
            </w:r>
          </w:p>
        </w:tc>
        <w:tc>
          <w:tcPr>
            <w:tcW w:w="958" w:type="pct"/>
            <w:vAlign w:val="center"/>
          </w:tcPr>
          <w:p w14:paraId="4D91AB11">
            <w:pPr>
              <w:jc w:val="right"/>
            </w:pPr>
            <w:r>
              <w:t>-4,613.08</w:t>
            </w:r>
          </w:p>
        </w:tc>
        <w:tc>
          <w:tcPr>
            <w:tcW w:w="1041" w:type="pct"/>
            <w:vAlign w:val="center"/>
          </w:tcPr>
          <w:p w14:paraId="6231DE63">
            <w:pPr>
              <w:jc w:val="right"/>
            </w:pPr>
            <w:r>
              <w:t>-28,755.48</w:t>
            </w:r>
          </w:p>
        </w:tc>
        <w:tc>
          <w:tcPr>
            <w:tcW w:w="1040" w:type="pct"/>
            <w:vAlign w:val="center"/>
          </w:tcPr>
          <w:p w14:paraId="08755333"/>
        </w:tc>
      </w:tr>
      <w:tr w14:paraId="26C6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vAlign w:val="center"/>
          </w:tcPr>
          <w:p w14:paraId="3A677983">
            <w:pPr>
              <w:pStyle w:val="62"/>
              <w:ind w:firstLine="0" w:firstLineChars="0"/>
              <w:jc w:val="center"/>
            </w:pPr>
            <w:r>
              <w:t>合计</w:t>
            </w:r>
          </w:p>
        </w:tc>
        <w:tc>
          <w:tcPr>
            <w:tcW w:w="958" w:type="pct"/>
            <w:vAlign w:val="center"/>
          </w:tcPr>
          <w:p w14:paraId="14D7A9CE">
            <w:pPr>
              <w:jc w:val="right"/>
            </w:pPr>
            <w:r>
              <w:t>883,936,681.90</w:t>
            </w:r>
          </w:p>
        </w:tc>
        <w:tc>
          <w:tcPr>
            <w:tcW w:w="1041" w:type="pct"/>
            <w:vAlign w:val="center"/>
          </w:tcPr>
          <w:p w14:paraId="03132188">
            <w:pPr>
              <w:jc w:val="right"/>
            </w:pPr>
            <w:r>
              <w:t>880,875,343.68</w:t>
            </w:r>
          </w:p>
        </w:tc>
        <w:tc>
          <w:tcPr>
            <w:tcW w:w="1040" w:type="pct"/>
            <w:vAlign w:val="center"/>
          </w:tcPr>
          <w:p w14:paraId="72FF2FAE"/>
        </w:tc>
      </w:tr>
    </w:tbl>
    <w:p w14:paraId="3C8A7689"/>
    <w:bookmarkEnd w:id="5"/>
    <w:bookmarkEnd w:id="6"/>
    <w:bookmarkEnd w:id="7"/>
    <w:p w14:paraId="196339F6">
      <w:pPr>
        <w:pStyle w:val="22"/>
        <w:adjustRightInd w:val="0"/>
        <w:snapToGrid w:val="0"/>
        <w:spacing w:line="200" w:lineRule="atLeast"/>
        <w:rPr>
          <w:rFonts w:hint="default" w:hAnsi="Times New Roman"/>
          <w:kern w:val="0"/>
          <w:sz w:val="21"/>
        </w:rPr>
      </w:pPr>
      <w:bookmarkStart w:id="8" w:name="_Hlk41379873"/>
      <w:bookmarkStart w:id="9" w:name="_Hlk89096484"/>
      <w:bookmarkStart w:id="10" w:name="_Hlk176869835"/>
      <w:r>
        <w:rPr>
          <w:rFonts w:hAnsi="Times New Roman" w:cs="宋体"/>
          <w:kern w:val="0"/>
          <w:sz w:val="21"/>
        </w:rPr>
        <w:t>对公司</w:t>
      </w:r>
      <w:r>
        <w:rPr>
          <w:rFonts w:hAnsi="Times New Roman"/>
          <w:sz w:val="21"/>
        </w:rPr>
        <w:t>将《公开发行证券的公司信息披露解释性公告第1号——非经常性损益》未列举的项目认定为非经常性损益项目且金额重大的，以及将《公开发行证券的公司信息披露解释性公告第1号——非经常性损益》中列举的非经常性损益项目界定为经常性损益的项目，</w:t>
      </w:r>
      <w:r>
        <w:rPr>
          <w:rFonts w:hAnsi="Times New Roman" w:cs="宋体"/>
          <w:kern w:val="0"/>
          <w:sz w:val="21"/>
        </w:rPr>
        <w:t>应说明原因。</w:t>
      </w:r>
    </w:p>
    <w:sdt>
      <w:sdtPr>
        <w:alias w:val="是否适用：将非经常性损益项目界定为经常性损益项目[双击切换]"/>
        <w:tag w:val="_GBC_389426d53dc24a96b9bda2c680ffbbc8"/>
        <w:id w:val="1401481050"/>
        <w:placeholder>
          <w:docPart w:val="GBC22222222222222222222222222222"/>
        </w:placeholder>
      </w:sdtPr>
      <w:sdtContent>
        <w:p w14:paraId="5E71049F">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3CEC23B"/>
    <w:bookmarkEnd w:id="8"/>
    <w:bookmarkEnd w:id="9"/>
    <w:bookmarkEnd w:id="10"/>
    <w:p w14:paraId="6B90C524">
      <w:pPr>
        <w:pStyle w:val="3"/>
        <w:numPr>
          <w:ilvl w:val="0"/>
          <w:numId w:val="3"/>
        </w:numPr>
        <w:tabs>
          <w:tab w:val="left" w:pos="728"/>
        </w:tabs>
        <w:spacing w:before="0" w:after="0" w:line="360" w:lineRule="auto"/>
        <w:ind w:left="0" w:firstLine="0"/>
      </w:pPr>
      <w:r>
        <w:rPr>
          <w:rFonts w:hint="eastAsia"/>
        </w:rPr>
        <w:t>主要会计数据、财务指标发生变动的情况、原因</w:t>
      </w:r>
    </w:p>
    <w:sdt>
      <w:sdtPr>
        <w:rPr>
          <w:szCs w:val="21"/>
        </w:rPr>
        <w:alias w:val="是否适用：主要会计数据、财务指标发生变动的情况、原因[双击切换]"/>
        <w:tag w:val="_GBC_84b4768a2178459db165c9b66de26662"/>
        <w:id w:val="866339088"/>
      </w:sdtPr>
      <w:sdtEndPr>
        <w:rPr>
          <w:szCs w:val="21"/>
        </w:rPr>
      </w:sdtEndPr>
      <w:sdtContent>
        <w:p w14:paraId="2BE7EE1D">
          <w:pPr>
            <w:pStyle w:val="83"/>
            <w:spacing w:after="156" w:afterLines="50"/>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MACROBUTTON  SnrToggleCheckbox □不适用 </w:instrText>
          </w:r>
          <w:r>
            <w:rPr>
              <w:rFonts w:ascii="宋体" w:hAnsi="宋体"/>
              <w:szCs w:val="21"/>
            </w:rPr>
            <w:fldChar w:fldCharType="end"/>
          </w:r>
        </w:p>
      </w:sdtContent>
    </w:sdt>
    <w:tbl>
      <w:tblPr>
        <w:tblStyle w:val="38"/>
        <w:tblW w:w="5142"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7"/>
        <w:gridCol w:w="1173"/>
        <w:gridCol w:w="4936"/>
      </w:tblGrid>
      <w:tr w14:paraId="2DEE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c198016f27a04a87992d90313df4761c"/>
            <w:id w:val="1376127742"/>
          </w:sdtPr>
          <w:sdtContent>
            <w:tc>
              <w:tcPr>
                <w:tcW w:w="1718" w:type="pct"/>
                <w:vAlign w:val="center"/>
              </w:tcPr>
              <w:p w14:paraId="7BA6A812">
                <w:pPr>
                  <w:jc w:val="center"/>
                </w:pPr>
                <w:r>
                  <w:rPr>
                    <w:rFonts w:hint="eastAsia"/>
                  </w:rPr>
                  <w:t>项目名称</w:t>
                </w:r>
              </w:p>
            </w:tc>
          </w:sdtContent>
        </w:sdt>
        <w:sdt>
          <w:sdtPr>
            <w:tag w:val="_PLD_4598af2dd9274db3976ad7c1e5829b90"/>
            <w:id w:val="157735585"/>
          </w:sdtPr>
          <w:sdtContent>
            <w:tc>
              <w:tcPr>
                <w:tcW w:w="630" w:type="pct"/>
                <w:vAlign w:val="center"/>
              </w:tcPr>
              <w:p w14:paraId="438ABD10">
                <w:pPr>
                  <w:jc w:val="center"/>
                </w:pPr>
                <w:r>
                  <w:rPr>
                    <w:rFonts w:hint="eastAsia"/>
                  </w:rPr>
                  <w:t>变动比例（%）</w:t>
                </w:r>
              </w:p>
            </w:tc>
          </w:sdtContent>
        </w:sdt>
        <w:tc>
          <w:tcPr>
            <w:tcW w:w="2652" w:type="pct"/>
          </w:tcPr>
          <w:sdt>
            <w:sdtPr>
              <w:tag w:val="_PLD_e8c8d27ff33c48c981f4ca46da2f77e2"/>
              <w:id w:val="-941380855"/>
            </w:sdtPr>
            <w:sdtContent>
              <w:p w14:paraId="3C83F8D6">
                <w:pPr>
                  <w:jc w:val="center"/>
                </w:pPr>
                <w:r>
                  <w:rPr>
                    <w:rFonts w:hint="eastAsia"/>
                  </w:rPr>
                  <w:t>主要原因</w:t>
                </w:r>
              </w:p>
            </w:sdtContent>
          </w:sdt>
        </w:tc>
      </w:tr>
      <w:sdt>
        <w:sdtPr>
          <w:alias w:val="主要会计数据、财务指标发生变动的情况、原因"/>
          <w:tag w:val="_TUP_657ec715457649f7a898c98191cfaf0e"/>
          <w:id w:val="-717975237"/>
        </w:sdtPr>
        <w:sdtContent>
          <w:tr w14:paraId="611F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Align w:val="center"/>
              </w:tcPr>
              <w:p w14:paraId="1F2BDB61">
                <w:pPr>
                  <w:jc w:val="both"/>
                </w:pPr>
                <w:r>
                  <w:rPr>
                    <w:rFonts w:hint="eastAsia"/>
                  </w:rPr>
                  <w:t>营业收入</w:t>
                </w:r>
                <w:r>
                  <w:t>_</w:t>
                </w:r>
                <w:r>
                  <w:rPr>
                    <w:rFonts w:hint="eastAsia"/>
                  </w:rPr>
                  <w:t>年初至报告期末</w:t>
                </w:r>
              </w:p>
            </w:tc>
            <w:tc>
              <w:tcPr>
                <w:tcW w:w="630" w:type="pct"/>
                <w:vAlign w:val="center"/>
              </w:tcPr>
              <w:p w14:paraId="708BEAA8">
                <w:pPr>
                  <w:jc w:val="right"/>
                </w:pPr>
                <w:r>
                  <w:rPr>
                    <w:rFonts w:hint="eastAsia"/>
                  </w:rPr>
                  <w:t>50.55</w:t>
                </w:r>
              </w:p>
            </w:tc>
            <w:tc>
              <w:tcPr>
                <w:tcW w:w="2652" w:type="pct"/>
                <w:vAlign w:val="center"/>
              </w:tcPr>
              <w:p w14:paraId="42B627BE">
                <w:pPr>
                  <w:jc w:val="both"/>
                </w:pPr>
                <w:r>
                  <w:rPr>
                    <w:rFonts w:hint="eastAsia"/>
                  </w:rPr>
                  <w:t>主要系报告期胰岛素类似物产品销量增长显著，带动国内销售收入增长，同时报告期内海外业务多点突破，带动出口收入增长所致。</w:t>
                </w:r>
              </w:p>
            </w:tc>
          </w:tr>
        </w:sdtContent>
      </w:sdt>
      <w:sdt>
        <w:sdtPr>
          <w:alias w:val="主要会计数据、财务指标发生变动的情况、原因"/>
          <w:tag w:val="_TUP_657ec715457649f7a898c98191cfaf0e"/>
          <w:id w:val="-695071029"/>
        </w:sdtPr>
        <w:sdtContent>
          <w:tr w14:paraId="002C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Align w:val="center"/>
              </w:tcPr>
              <w:p w14:paraId="0E0471CA">
                <w:pPr>
                  <w:jc w:val="both"/>
                </w:pPr>
                <w:r>
                  <w:rPr>
                    <w:rFonts w:hint="eastAsia"/>
                  </w:rPr>
                  <w:t>利润总额</w:t>
                </w:r>
                <w:r>
                  <w:t>_</w:t>
                </w:r>
                <w:r>
                  <w:rPr>
                    <w:rFonts w:hint="eastAsia"/>
                  </w:rPr>
                  <w:t>本报告期</w:t>
                </w:r>
              </w:p>
            </w:tc>
            <w:tc>
              <w:tcPr>
                <w:tcW w:w="630" w:type="pct"/>
                <w:vAlign w:val="center"/>
              </w:tcPr>
              <w:p w14:paraId="5B8E1D62">
                <w:pPr>
                  <w:jc w:val="right"/>
                </w:pPr>
                <w:r>
                  <w:rPr>
                    <w:rFonts w:hint="eastAsia"/>
                  </w:rPr>
                  <w:t>547.29</w:t>
                </w:r>
              </w:p>
            </w:tc>
            <w:tc>
              <w:tcPr>
                <w:tcW w:w="2652" w:type="pct"/>
                <w:vAlign w:val="center"/>
              </w:tcPr>
              <w:p w14:paraId="760A31FB">
                <w:pPr>
                  <w:jc w:val="both"/>
                </w:pPr>
                <w:r>
                  <w:rPr>
                    <w:rFonts w:hint="eastAsia"/>
                  </w:rPr>
                  <w:t>主要系报告期营业收入增长及转让特宝生物股票产生收益所致。</w:t>
                </w:r>
              </w:p>
            </w:tc>
          </w:tr>
        </w:sdtContent>
      </w:sdt>
      <w:sdt>
        <w:sdtPr>
          <w:alias w:val="主要会计数据、财务指标发生变动的情况、原因"/>
          <w:tag w:val="_TUP_657ec715457649f7a898c98191cfaf0e"/>
          <w:id w:val="-944387828"/>
        </w:sdtPr>
        <w:sdtContent>
          <w:tr w14:paraId="59A8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Align w:val="center"/>
              </w:tcPr>
              <w:p w14:paraId="447598A4">
                <w:pPr>
                  <w:jc w:val="both"/>
                </w:pPr>
                <w:r>
                  <w:rPr>
                    <w:rFonts w:hint="eastAsia"/>
                  </w:rPr>
                  <w:t>利润总额</w:t>
                </w:r>
                <w:r>
                  <w:t>_</w:t>
                </w:r>
                <w:r>
                  <w:rPr>
                    <w:rFonts w:hint="eastAsia"/>
                  </w:rPr>
                  <w:t>年初至报告期末</w:t>
                </w:r>
              </w:p>
            </w:tc>
            <w:tc>
              <w:tcPr>
                <w:tcW w:w="630" w:type="pct"/>
                <w:vAlign w:val="center"/>
              </w:tcPr>
              <w:p w14:paraId="6E6DA50B">
                <w:pPr>
                  <w:jc w:val="right"/>
                </w:pPr>
                <w:r>
                  <w:rPr>
                    <w:rFonts w:hint="eastAsia"/>
                  </w:rPr>
                  <w:t>不适用</w:t>
                </w:r>
              </w:p>
            </w:tc>
            <w:tc>
              <w:tcPr>
                <w:tcW w:w="2652" w:type="pct"/>
                <w:vAlign w:val="center"/>
              </w:tcPr>
              <w:p w14:paraId="7F617A92">
                <w:pPr>
                  <w:jc w:val="both"/>
                </w:pPr>
                <w:r>
                  <w:rPr>
                    <w:rFonts w:hint="eastAsia"/>
                  </w:rPr>
                  <w:t>主要系报告期营业收入增长及转让特宝生物股票产生收益，并且上年同期研发项目（THDB0207注射液）终止，确认研发损失金额较大所致。</w:t>
                </w:r>
              </w:p>
            </w:tc>
          </w:tr>
        </w:sdtContent>
      </w:sdt>
      <w:sdt>
        <w:sdtPr>
          <w:alias w:val="主要会计数据、财务指标发生变动的情况、原因"/>
          <w:tag w:val="_TUP_657ec715457649f7a898c98191cfaf0e"/>
          <w:id w:val="1010959895"/>
        </w:sdtPr>
        <w:sdtContent>
          <w:tr w14:paraId="2EBD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Align w:val="center"/>
              </w:tcPr>
              <w:p w14:paraId="2712C8A2">
                <w:pPr>
                  <w:jc w:val="both"/>
                </w:pPr>
                <w:r>
                  <w:rPr>
                    <w:rFonts w:hint="eastAsia"/>
                  </w:rPr>
                  <w:t>归属于上市公司股东的净利润_本报告期</w:t>
                </w:r>
              </w:p>
            </w:tc>
            <w:tc>
              <w:tcPr>
                <w:tcW w:w="630" w:type="pct"/>
                <w:vAlign w:val="center"/>
              </w:tcPr>
              <w:p w14:paraId="16A7A3E7">
                <w:pPr>
                  <w:jc w:val="right"/>
                </w:pPr>
                <w:r>
                  <w:rPr>
                    <w:rFonts w:hint="eastAsia"/>
                  </w:rPr>
                  <w:t>499.86</w:t>
                </w:r>
              </w:p>
            </w:tc>
            <w:tc>
              <w:tcPr>
                <w:tcW w:w="2652" w:type="pct"/>
                <w:vAlign w:val="center"/>
              </w:tcPr>
              <w:p w14:paraId="38479F79">
                <w:pPr>
                  <w:jc w:val="both"/>
                </w:pPr>
                <w:r>
                  <w:rPr>
                    <w:rFonts w:hint="eastAsia"/>
                  </w:rPr>
                  <w:t>主要系报告期营业收入增长及转让特宝生物股票产生收益所致。</w:t>
                </w:r>
              </w:p>
            </w:tc>
          </w:tr>
        </w:sdtContent>
      </w:sdt>
      <w:sdt>
        <w:sdtPr>
          <w:alias w:val="主要会计数据、财务指标发生变动的情况、原因"/>
          <w:tag w:val="_TUP_657ec715457649f7a898c98191cfaf0e"/>
          <w:id w:val="-547216417"/>
        </w:sdtPr>
        <w:sdtContent>
          <w:tr w14:paraId="746D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Align w:val="center"/>
              </w:tcPr>
              <w:p w14:paraId="3EC39B80">
                <w:pPr>
                  <w:jc w:val="both"/>
                </w:pPr>
                <w:r>
                  <w:rPr>
                    <w:rFonts w:hint="eastAsia"/>
                  </w:rPr>
                  <w:t>归属于上市公司股东的净利润_年初至报告期末</w:t>
                </w:r>
              </w:p>
            </w:tc>
            <w:tc>
              <w:tcPr>
                <w:tcW w:w="630" w:type="pct"/>
                <w:vAlign w:val="center"/>
              </w:tcPr>
              <w:p w14:paraId="71314C06">
                <w:pPr>
                  <w:jc w:val="right"/>
                </w:pPr>
                <w:r>
                  <w:rPr>
                    <w:rFonts w:hint="eastAsia"/>
                  </w:rPr>
                  <w:t>不适用</w:t>
                </w:r>
              </w:p>
            </w:tc>
            <w:tc>
              <w:tcPr>
                <w:tcW w:w="2652" w:type="pct"/>
                <w:vAlign w:val="center"/>
              </w:tcPr>
              <w:p w14:paraId="0B3E69CF">
                <w:pPr>
                  <w:jc w:val="both"/>
                </w:pPr>
                <w:r>
                  <w:rPr>
                    <w:rFonts w:hint="eastAsia"/>
                  </w:rPr>
                  <w:t>主要系报告期营业收入增长及转让特宝生物股票产生收益所致。</w:t>
                </w:r>
              </w:p>
            </w:tc>
          </w:tr>
        </w:sdtContent>
      </w:sdt>
      <w:sdt>
        <w:sdtPr>
          <w:alias w:val="主要会计数据、财务指标发生变动的情况、原因"/>
          <w:tag w:val="_TUP_657ec715457649f7a898c98191cfaf0e"/>
          <w:id w:val="1584108497"/>
        </w:sdtPr>
        <w:sdtContent>
          <w:tr w14:paraId="4EBE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Align w:val="center"/>
              </w:tcPr>
              <w:p w14:paraId="3714798E">
                <w:pPr>
                  <w:jc w:val="both"/>
                </w:pPr>
                <w:r>
                  <w:rPr>
                    <w:rFonts w:hint="eastAsia"/>
                  </w:rPr>
                  <w:t>归属于上市公司股东的扣除非经常性损益的净利润_本报告期</w:t>
                </w:r>
              </w:p>
            </w:tc>
            <w:tc>
              <w:tcPr>
                <w:tcW w:w="630" w:type="pct"/>
                <w:vAlign w:val="center"/>
              </w:tcPr>
              <w:p w14:paraId="2787FF0D">
                <w:pPr>
                  <w:jc w:val="right"/>
                </w:pPr>
                <w:r>
                  <w:rPr>
                    <w:rFonts w:hint="eastAsia"/>
                  </w:rPr>
                  <w:t>-32.24</w:t>
                </w:r>
              </w:p>
            </w:tc>
            <w:tc>
              <w:tcPr>
                <w:tcW w:w="2652" w:type="pct"/>
                <w:vAlign w:val="center"/>
              </w:tcPr>
              <w:p w14:paraId="27504D9F">
                <w:pPr>
                  <w:jc w:val="both"/>
                </w:pPr>
                <w:r>
                  <w:rPr>
                    <w:rFonts w:hint="eastAsia"/>
                  </w:rPr>
                  <w:t>主要系报告期在建工程-超速效赖脯胰岛素注射液配套工程项目终止确认损失所致。</w:t>
                </w:r>
              </w:p>
            </w:tc>
          </w:tr>
        </w:sdtContent>
      </w:sdt>
      <w:sdt>
        <w:sdtPr>
          <w:alias w:val="主要会计数据、财务指标发生变动的情况、原因"/>
          <w:tag w:val="_TUP_657ec715457649f7a898c98191cfaf0e"/>
          <w:id w:val="591591180"/>
        </w:sdtPr>
        <w:sdtContent>
          <w:tr w14:paraId="1BAC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Align w:val="center"/>
              </w:tcPr>
              <w:p w14:paraId="00301478">
                <w:pPr>
                  <w:jc w:val="both"/>
                </w:pPr>
                <w:r>
                  <w:rPr>
                    <w:rFonts w:hint="eastAsia"/>
                  </w:rPr>
                  <w:t>归属于上市公司股东的扣除非经常性损益的净利润_年初至报告期末</w:t>
                </w:r>
              </w:p>
            </w:tc>
            <w:tc>
              <w:tcPr>
                <w:tcW w:w="630" w:type="pct"/>
                <w:vAlign w:val="center"/>
              </w:tcPr>
              <w:p w14:paraId="4F8DFD8F">
                <w:pPr>
                  <w:jc w:val="right"/>
                </w:pPr>
                <w:r>
                  <w:rPr>
                    <w:rFonts w:hint="eastAsia"/>
                  </w:rPr>
                  <w:t>137.92</w:t>
                </w:r>
              </w:p>
            </w:tc>
            <w:tc>
              <w:tcPr>
                <w:tcW w:w="2652" w:type="pct"/>
                <w:vAlign w:val="center"/>
              </w:tcPr>
              <w:p w14:paraId="1545391C">
                <w:pPr>
                  <w:jc w:val="both"/>
                </w:pPr>
                <w:r>
                  <w:rPr>
                    <w:rFonts w:hint="eastAsia"/>
                  </w:rPr>
                  <w:t>主要系报告期营业收入增长，并且上年同期研发项目（THDB0207注射液）终止，确认研发损失金额较大所致。</w:t>
                </w:r>
              </w:p>
            </w:tc>
          </w:tr>
        </w:sdtContent>
      </w:sdt>
      <w:sdt>
        <w:sdtPr>
          <w:alias w:val="主要会计数据、财务指标发生变动的情况、原因"/>
          <w:tag w:val="_TUP_657ec715457649f7a898c98191cfaf0e"/>
          <w:id w:val="-435261"/>
        </w:sdtPr>
        <w:sdtContent>
          <w:tr w14:paraId="2E83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Align w:val="center"/>
              </w:tcPr>
              <w:p w14:paraId="4992CE82">
                <w:pPr>
                  <w:jc w:val="both"/>
                </w:pPr>
                <w:r>
                  <w:rPr>
                    <w:rFonts w:hint="eastAsia"/>
                  </w:rPr>
                  <w:t>经营活动产生的现金流量净额_年初至报告期末</w:t>
                </w:r>
              </w:p>
            </w:tc>
            <w:tc>
              <w:tcPr>
                <w:tcW w:w="630" w:type="pct"/>
                <w:vAlign w:val="center"/>
              </w:tcPr>
              <w:p w14:paraId="20093110">
                <w:pPr>
                  <w:jc w:val="right"/>
                </w:pPr>
                <w:r>
                  <w:rPr>
                    <w:rFonts w:hint="eastAsia"/>
                  </w:rPr>
                  <w:t>68.88</w:t>
                </w:r>
              </w:p>
            </w:tc>
            <w:tc>
              <w:tcPr>
                <w:tcW w:w="2652" w:type="pct"/>
                <w:vAlign w:val="center"/>
              </w:tcPr>
              <w:p w14:paraId="1BABF281">
                <w:pPr>
                  <w:jc w:val="both"/>
                </w:pPr>
                <w:r>
                  <w:rPr>
                    <w:rFonts w:hint="eastAsia"/>
                  </w:rPr>
                  <w:t>主要系报告期收入增加导致经营性现金流入增加所致。</w:t>
                </w:r>
              </w:p>
            </w:tc>
          </w:tr>
        </w:sdtContent>
      </w:sdt>
      <w:sdt>
        <w:sdtPr>
          <w:alias w:val="主要会计数据、财务指标发生变动的情况、原因"/>
          <w:tag w:val="_TUP_657ec715457649f7a898c98191cfaf0e"/>
          <w:id w:val="-1895418795"/>
        </w:sdtPr>
        <w:sdtContent>
          <w:tr w14:paraId="2209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Align w:val="center"/>
              </w:tcPr>
              <w:p w14:paraId="72DC6B27">
                <w:pPr>
                  <w:jc w:val="both"/>
                </w:pPr>
                <w:r>
                  <w:rPr>
                    <w:rFonts w:hint="eastAsia"/>
                  </w:rPr>
                  <w:t>基本每股收益_本报告期</w:t>
                </w:r>
              </w:p>
            </w:tc>
            <w:tc>
              <w:tcPr>
                <w:tcW w:w="630" w:type="pct"/>
                <w:vAlign w:val="center"/>
              </w:tcPr>
              <w:p w14:paraId="0D079C1A">
                <w:pPr>
                  <w:jc w:val="right"/>
                </w:pPr>
                <w:r>
                  <w:rPr>
                    <w:rFonts w:hint="eastAsia"/>
                  </w:rPr>
                  <w:t>5</w:t>
                </w:r>
                <w:r>
                  <w:t>25.0</w:t>
                </w:r>
                <w:r>
                  <w:rPr>
                    <w:rFonts w:hint="eastAsia"/>
                  </w:rPr>
                  <w:t>0</w:t>
                </w:r>
              </w:p>
            </w:tc>
            <w:tc>
              <w:tcPr>
                <w:tcW w:w="2652" w:type="pct"/>
                <w:vMerge w:val="restart"/>
                <w:vAlign w:val="center"/>
              </w:tcPr>
              <w:p w14:paraId="77FC3854">
                <w:pPr>
                  <w:jc w:val="both"/>
                </w:pPr>
                <w:r>
                  <w:rPr>
                    <w:rFonts w:hint="eastAsia"/>
                  </w:rPr>
                  <w:t>主要系报告期净利润增加所致。</w:t>
                </w:r>
              </w:p>
            </w:tc>
          </w:tr>
        </w:sdtContent>
      </w:sdt>
      <w:sdt>
        <w:sdtPr>
          <w:alias w:val="主要会计数据、财务指标发生变动的情况、原因"/>
          <w:tag w:val="_TUP_657ec715457649f7a898c98191cfaf0e"/>
          <w:id w:val="-185448768"/>
        </w:sdtPr>
        <w:sdtContent>
          <w:tr w14:paraId="7C6F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Align w:val="center"/>
              </w:tcPr>
              <w:p w14:paraId="73A768B0">
                <w:pPr>
                  <w:jc w:val="both"/>
                </w:pPr>
                <w:r>
                  <w:rPr>
                    <w:rFonts w:hint="eastAsia"/>
                  </w:rPr>
                  <w:t>基本每股收益_年初至报告期末</w:t>
                </w:r>
              </w:p>
            </w:tc>
            <w:tc>
              <w:tcPr>
                <w:tcW w:w="630" w:type="pct"/>
                <w:vAlign w:val="center"/>
              </w:tcPr>
              <w:p w14:paraId="786811E2">
                <w:pPr>
                  <w:jc w:val="right"/>
                </w:pPr>
                <w:r>
                  <w:rPr>
                    <w:rFonts w:hint="eastAsia"/>
                  </w:rPr>
                  <w:t>不适用</w:t>
                </w:r>
              </w:p>
            </w:tc>
            <w:tc>
              <w:tcPr>
                <w:tcW w:w="2652" w:type="pct"/>
                <w:vMerge w:val="continue"/>
                <w:vAlign w:val="center"/>
              </w:tcPr>
              <w:p w14:paraId="4B83054F"/>
            </w:tc>
          </w:tr>
        </w:sdtContent>
      </w:sdt>
      <w:sdt>
        <w:sdtPr>
          <w:alias w:val="主要会计数据、财务指标发生变动的情况、原因"/>
          <w:tag w:val="_TUP_657ec715457649f7a898c98191cfaf0e"/>
          <w:id w:val="-2015214729"/>
        </w:sdtPr>
        <w:sdtContent>
          <w:tr w14:paraId="4237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Align w:val="center"/>
              </w:tcPr>
              <w:p w14:paraId="5E44CBBB">
                <w:pPr>
                  <w:jc w:val="both"/>
                </w:pPr>
                <w:r>
                  <w:rPr>
                    <w:rFonts w:hint="eastAsia"/>
                  </w:rPr>
                  <w:t>稀释每股收益_本报告期</w:t>
                </w:r>
              </w:p>
            </w:tc>
            <w:tc>
              <w:tcPr>
                <w:tcW w:w="630" w:type="pct"/>
                <w:vAlign w:val="center"/>
              </w:tcPr>
              <w:p w14:paraId="1048BDF2">
                <w:pPr>
                  <w:jc w:val="right"/>
                </w:pPr>
                <w:r>
                  <w:rPr>
                    <w:rFonts w:hint="eastAsia"/>
                  </w:rPr>
                  <w:t>5</w:t>
                </w:r>
                <w:r>
                  <w:t>25.0</w:t>
                </w:r>
                <w:r>
                  <w:rPr>
                    <w:rFonts w:hint="eastAsia"/>
                  </w:rPr>
                  <w:t>0</w:t>
                </w:r>
              </w:p>
            </w:tc>
            <w:tc>
              <w:tcPr>
                <w:tcW w:w="2652" w:type="pct"/>
                <w:vMerge w:val="continue"/>
                <w:vAlign w:val="center"/>
              </w:tcPr>
              <w:p w14:paraId="51ABADCD"/>
            </w:tc>
          </w:tr>
        </w:sdtContent>
      </w:sdt>
      <w:sdt>
        <w:sdtPr>
          <w:alias w:val="主要会计数据、财务指标发生变动的情况、原因"/>
          <w:tag w:val="_TUP_657ec715457649f7a898c98191cfaf0e"/>
          <w:id w:val="-1910144678"/>
        </w:sdtPr>
        <w:sdtContent>
          <w:tr w14:paraId="0A81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Align w:val="center"/>
              </w:tcPr>
              <w:p w14:paraId="64D759D1">
                <w:pPr>
                  <w:jc w:val="both"/>
                </w:pPr>
                <w:r>
                  <w:rPr>
                    <w:rFonts w:hint="eastAsia"/>
                  </w:rPr>
                  <w:t>稀释每股收益_年初至报告期末</w:t>
                </w:r>
              </w:p>
            </w:tc>
            <w:tc>
              <w:tcPr>
                <w:tcW w:w="630" w:type="pct"/>
                <w:vAlign w:val="center"/>
              </w:tcPr>
              <w:p w14:paraId="349D91D9">
                <w:pPr>
                  <w:jc w:val="right"/>
                </w:pPr>
                <w:r>
                  <w:rPr>
                    <w:rFonts w:hint="eastAsia"/>
                  </w:rPr>
                  <w:t>不适用</w:t>
                </w:r>
              </w:p>
            </w:tc>
            <w:tc>
              <w:tcPr>
                <w:tcW w:w="2652" w:type="pct"/>
                <w:vMerge w:val="continue"/>
                <w:vAlign w:val="center"/>
              </w:tcPr>
              <w:p w14:paraId="1BF11364"/>
            </w:tc>
          </w:tr>
        </w:sdtContent>
      </w:sdt>
    </w:tbl>
    <w:p w14:paraId="2B5D4DA9">
      <w:pPr>
        <w:pStyle w:val="22"/>
        <w:adjustRightInd w:val="0"/>
        <w:snapToGrid w:val="0"/>
        <w:rPr>
          <w:rFonts w:hint="default" w:hAnsi="Times New Roman"/>
          <w:sz w:val="21"/>
        </w:rPr>
      </w:pPr>
    </w:p>
    <w:p w14:paraId="2CDD2013"/>
    <w:p w14:paraId="33EF9998">
      <w:pPr>
        <w:pStyle w:val="2"/>
        <w:numPr>
          <w:ilvl w:val="0"/>
          <w:numId w:val="2"/>
        </w:numPr>
        <w:tabs>
          <w:tab w:val="left" w:pos="434"/>
          <w:tab w:val="left" w:pos="882"/>
        </w:tabs>
        <w:spacing w:line="360" w:lineRule="auto"/>
        <w:ind w:left="0" w:firstLine="0"/>
        <w:rPr>
          <w:sz w:val="21"/>
        </w:rPr>
      </w:pPr>
      <w:r>
        <w:rPr>
          <w:rFonts w:hint="eastAsia"/>
          <w:sz w:val="21"/>
        </w:rPr>
        <w:t>股东信息</w:t>
      </w:r>
    </w:p>
    <w:p w14:paraId="1C16F2B5">
      <w:pPr>
        <w:pStyle w:val="3"/>
        <w:numPr>
          <w:ilvl w:val="0"/>
          <w:numId w:val="4"/>
        </w:numPr>
        <w:tabs>
          <w:tab w:val="left" w:pos="728"/>
        </w:tabs>
        <w:spacing w:before="0" w:after="0" w:line="360" w:lineRule="auto"/>
        <w:ind w:left="0" w:firstLine="0"/>
        <w:rPr>
          <w:rStyle w:val="47"/>
          <w:rFonts w:ascii="Times New Roman" w:hAnsi="Times New Roman"/>
        </w:rPr>
      </w:pPr>
      <w:bookmarkStart w:id="11" w:name="_Hlk41062485"/>
      <w:r>
        <w:rPr>
          <w:rStyle w:val="47"/>
          <w:rFonts w:hint="eastAsia" w:ascii="Times New Roman" w:hAnsi="Times New Roman"/>
        </w:rPr>
        <w:t>普通股股东总数和</w:t>
      </w:r>
      <w:r>
        <w:rPr>
          <w:rFonts w:hint="eastAsia"/>
        </w:rPr>
        <w:t>表决权</w:t>
      </w:r>
      <w:r>
        <w:rPr>
          <w:rStyle w:val="47"/>
          <w:rFonts w:hint="eastAsia" w:ascii="Times New Roman" w:hAnsi="Times New Roman"/>
        </w:rPr>
        <w:t>恢复的优先股股东数量及前十名股东持股情况表</w:t>
      </w:r>
    </w:p>
    <w:p w14:paraId="29C7677B">
      <w:pPr>
        <w:jc w:val="right"/>
        <w:rPr>
          <w:bCs/>
        </w:rPr>
      </w:pPr>
      <w:r>
        <w:rPr>
          <w:rFonts w:hint="eastAsia"/>
          <w:bCs/>
        </w:rPr>
        <w:t>单位：</w:t>
      </w:r>
      <w:sdt>
        <w:sdtPr>
          <w:rPr>
            <w:rFonts w:hint="eastAsia"/>
            <w:bCs/>
          </w:rPr>
          <w:alias w:val="单位_报告期末股东总人数及前十名流通股东（或无限售条件股东）持股情况"/>
          <w:tag w:val="_GBC_dfa472b398c64c8e84df34ca8dd3c712"/>
          <w:id w:val="1038627011"/>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rPr>
            <w:rFonts w:hint="eastAsia"/>
            <w:bCs/>
          </w:rPr>
        </w:sdtEndPr>
        <w:sdtContent>
          <w:r>
            <w:rPr>
              <w:rFonts w:hint="eastAsia"/>
              <w:bCs/>
            </w:rPr>
            <w:t>股</w:t>
          </w:r>
        </w:sdtContent>
      </w:sdt>
    </w:p>
    <w:bookmarkEnd w:id="11"/>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1120"/>
        <w:gridCol w:w="1307"/>
        <w:gridCol w:w="125"/>
        <w:gridCol w:w="710"/>
        <w:gridCol w:w="850"/>
        <w:gridCol w:w="710"/>
        <w:gridCol w:w="1427"/>
      </w:tblGrid>
      <w:tr w14:paraId="3D8D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sdt>
          <w:sdtPr>
            <w:tag w:val="_PLD_7763ceb59ff14702b724dd05e3114b98"/>
            <w:id w:val="-340000605"/>
          </w:sdtPr>
          <w:sdtContent>
            <w:tc>
              <w:tcPr>
                <w:tcW w:w="1548" w:type="pct"/>
                <w:vAlign w:val="center"/>
              </w:tcPr>
              <w:p w14:paraId="11530413">
                <w:pPr>
                  <w:pStyle w:val="17"/>
                  <w:jc w:val="left"/>
                </w:pPr>
                <w:bookmarkStart w:id="12" w:name="_Hlk155094173"/>
                <w:bookmarkStart w:id="13" w:name="_Hlk161154245"/>
                <w:bookmarkStart w:id="14" w:name="_Hlk176870778"/>
                <w:bookmarkStart w:id="15" w:name="_Hlk176943386"/>
                <w:bookmarkStart w:id="16" w:name="_Hlk161321917"/>
                <w:r>
                  <w:rPr>
                    <w:rFonts w:hint="eastAsia"/>
                  </w:rPr>
                  <w:t>报告期末普通股股东总数</w:t>
                </w:r>
              </w:p>
            </w:tc>
          </w:sdtContent>
        </w:sdt>
        <w:sdt>
          <w:sdtPr>
            <w:alias w:val="报告期末股东总数"/>
            <w:tag w:val="_GBC_9f80afd54b9141d3a08e1fc5fb18477c"/>
            <w:id w:val="-1541360524"/>
          </w:sdtPr>
          <w:sdtContent>
            <w:tc>
              <w:tcPr>
                <w:tcW w:w="619" w:type="pct"/>
                <w:vAlign w:val="center"/>
              </w:tcPr>
              <w:p w14:paraId="5F994ABE">
                <w:pPr>
                  <w:pStyle w:val="17"/>
                  <w:jc w:val="right"/>
                </w:pPr>
                <w:r>
                  <w:t>82,143</w:t>
                </w:r>
              </w:p>
            </w:tc>
          </w:sdtContent>
        </w:sdt>
        <w:sdt>
          <w:sdtPr>
            <w:tag w:val="_PLD_4560c17c1ad84844ad7ab8d1bc4b16f9"/>
            <w:id w:val="942278627"/>
          </w:sdtPr>
          <w:sdtContent>
            <w:tc>
              <w:tcPr>
                <w:tcW w:w="1652" w:type="pct"/>
                <w:gridSpan w:val="4"/>
                <w:vAlign w:val="center"/>
              </w:tcPr>
              <w:p w14:paraId="4DD8BEC3">
                <w:pPr>
                  <w:pStyle w:val="17"/>
                  <w:jc w:val="left"/>
                </w:pPr>
                <w:r>
                  <w:rPr>
                    <w:rFonts w:hint="eastAsia" w:cs="宋体"/>
                    <w:kern w:val="0"/>
                  </w:rPr>
                  <w:t>报告期末表决权恢复的优先股股东总数（如有）</w:t>
                </w:r>
              </w:p>
            </w:tc>
          </w:sdtContent>
        </w:sdt>
        <w:sdt>
          <w:sdtPr>
            <w:alias w:val="报告期末表决权恢复的优先股股东总数"/>
            <w:tag w:val="_GBC_0c0f8590dd43419b8762871a2a8c2a95"/>
            <w:id w:val="-424190758"/>
          </w:sdtPr>
          <w:sdtContent>
            <w:tc>
              <w:tcPr>
                <w:tcW w:w="1181" w:type="pct"/>
                <w:gridSpan w:val="2"/>
                <w:vAlign w:val="center"/>
              </w:tcPr>
              <w:p w14:paraId="0155080D">
                <w:pPr>
                  <w:pStyle w:val="17"/>
                  <w:jc w:val="right"/>
                </w:pPr>
                <w:r>
                  <w:rPr>
                    <w:rFonts w:hint="eastAsia"/>
                  </w:rPr>
                  <w:t>无</w:t>
                </w:r>
              </w:p>
            </w:tc>
          </w:sdtContent>
        </w:sdt>
      </w:tr>
      <w:tr w14:paraId="4D0B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sdt>
          <w:sdtPr>
            <w:tag w:val="_PLD_0c52a38e503e430a99c9d444472deeb2"/>
            <w:id w:val="1578553110"/>
          </w:sdtPr>
          <w:sdtContent>
            <w:tc>
              <w:tcPr>
                <w:tcW w:w="5000" w:type="pct"/>
                <w:gridSpan w:val="8"/>
              </w:tcPr>
              <w:p w14:paraId="128AF6BB">
                <w:pPr>
                  <w:pStyle w:val="17"/>
                  <w:jc w:val="center"/>
                </w:pPr>
                <w:r>
                  <w:t>前</w:t>
                </w:r>
                <w:r>
                  <w:rPr>
                    <w:rFonts w:hint="eastAsia"/>
                  </w:rPr>
                  <w:t>1</w:t>
                </w:r>
                <w:r>
                  <w:t>0名股东持股情况</w:t>
                </w:r>
                <w:r>
                  <w:rPr>
                    <w:rFonts w:hint="eastAsia"/>
                  </w:rPr>
                  <w:t>（不含通过转融通出借股份）</w:t>
                </w:r>
              </w:p>
            </w:tc>
          </w:sdtContent>
        </w:sdt>
      </w:tr>
      <w:tr w14:paraId="78C1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sdt>
          <w:sdtPr>
            <w:tag w:val="_PLD_42d7b7d2cca343c7adbdaddacb8f8cc7"/>
            <w:id w:val="-520854330"/>
          </w:sdtPr>
          <w:sdtContent>
            <w:tc>
              <w:tcPr>
                <w:tcW w:w="1548" w:type="pct"/>
                <w:vMerge w:val="restart"/>
                <w:vAlign w:val="center"/>
              </w:tcPr>
              <w:p w14:paraId="16951AA9">
                <w:pPr>
                  <w:jc w:val="center"/>
                </w:pPr>
                <w:r>
                  <w:t>股东名称</w:t>
                </w:r>
              </w:p>
            </w:tc>
          </w:sdtContent>
        </w:sdt>
        <w:sdt>
          <w:sdtPr>
            <w:tag w:val="_PLD_a7c1e769bb7849e7b3d6d60a874cab2b"/>
            <w:id w:val="1202207897"/>
          </w:sdtPr>
          <w:sdtContent>
            <w:tc>
              <w:tcPr>
                <w:tcW w:w="619" w:type="pct"/>
                <w:vMerge w:val="restart"/>
                <w:vAlign w:val="center"/>
              </w:tcPr>
              <w:p w14:paraId="77FB3944">
                <w:pPr>
                  <w:jc w:val="center"/>
                </w:pPr>
                <w:r>
                  <w:t>股东性质</w:t>
                </w:r>
              </w:p>
            </w:tc>
          </w:sdtContent>
        </w:sdt>
        <w:tc>
          <w:tcPr>
            <w:tcW w:w="791" w:type="pct"/>
            <w:gridSpan w:val="2"/>
            <w:vMerge w:val="restart"/>
            <w:vAlign w:val="center"/>
          </w:tcPr>
          <w:sdt>
            <w:sdtPr>
              <w:tag w:val="_PLD_1489351962b64308b9d4948a8b22a226"/>
              <w:id w:val="295190766"/>
            </w:sdtPr>
            <w:sdtEndPr>
              <w:rPr>
                <w:rFonts w:hint="eastAsia"/>
                <w:szCs w:val="20"/>
              </w:rPr>
            </w:sdtEndPr>
            <w:sdtContent>
              <w:p w14:paraId="4DED9C8E">
                <w:pPr>
                  <w:jc w:val="center"/>
                </w:pPr>
                <w:r>
                  <w:t>持股数量</w:t>
                </w:r>
              </w:p>
            </w:sdtContent>
          </w:sdt>
        </w:tc>
        <w:sdt>
          <w:sdtPr>
            <w:tag w:val="_PLD_90a1f1bd2e2f42778452b1da8e799d9e"/>
            <w:id w:val="767195915"/>
          </w:sdtPr>
          <w:sdtContent>
            <w:tc>
              <w:tcPr>
                <w:tcW w:w="392" w:type="pct"/>
                <w:vMerge w:val="restart"/>
                <w:vAlign w:val="center"/>
              </w:tcPr>
              <w:p w14:paraId="4AA7C1B4">
                <w:pPr>
                  <w:jc w:val="center"/>
                </w:pPr>
                <w:r>
                  <w:rPr>
                    <w:rFonts w:hint="eastAsia"/>
                  </w:rPr>
                  <w:t>持股</w:t>
                </w:r>
                <w:r>
                  <w:t>比例(%)</w:t>
                </w:r>
              </w:p>
            </w:tc>
          </w:sdtContent>
        </w:sdt>
        <w:sdt>
          <w:sdtPr>
            <w:tag w:val="_PLD_f80518c17a7d4d0784d3894a3904995e"/>
            <w:id w:val="-1276014395"/>
          </w:sdtPr>
          <w:sdtContent>
            <w:tc>
              <w:tcPr>
                <w:tcW w:w="470" w:type="pct"/>
                <w:vMerge w:val="restart"/>
                <w:vAlign w:val="center"/>
              </w:tcPr>
              <w:p w14:paraId="08E99D0F">
                <w:pPr>
                  <w:pStyle w:val="12"/>
                  <w:rPr>
                    <w:bCs/>
                    <w:color w:val="00B050"/>
                  </w:rPr>
                </w:pPr>
                <w:r>
                  <w:rPr>
                    <w:bCs/>
                  </w:rPr>
                  <w:t>持有有限售条件股份数量</w:t>
                </w:r>
              </w:p>
            </w:tc>
          </w:sdtContent>
        </w:sdt>
        <w:tc>
          <w:tcPr>
            <w:tcW w:w="1181" w:type="pct"/>
            <w:gridSpan w:val="2"/>
            <w:vAlign w:val="center"/>
          </w:tcPr>
          <w:sdt>
            <w:sdtPr>
              <w:tag w:val="_PLD_d2d779b485104e78b7eb4adee2cfb04f"/>
              <w:id w:val="1021981337"/>
            </w:sdtPr>
            <w:sdtContent>
              <w:p w14:paraId="601288E8">
                <w:pPr>
                  <w:jc w:val="center"/>
                </w:pPr>
                <w:r>
                  <w:t>质押</w:t>
                </w:r>
                <w:r>
                  <w:rPr>
                    <w:rFonts w:hint="eastAsia"/>
                  </w:rPr>
                  <w:t>、标记</w:t>
                </w:r>
                <w:r>
                  <w:t>或冻结情</w:t>
                </w:r>
                <w:r>
                  <w:rPr>
                    <w:rFonts w:hint="eastAsia"/>
                  </w:rPr>
                  <w:t>况</w:t>
                </w:r>
              </w:p>
            </w:sdtContent>
          </w:sdt>
        </w:tc>
      </w:tr>
      <w:tr w14:paraId="43AD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548" w:type="pct"/>
            <w:vMerge w:val="continue"/>
            <w:vAlign w:val="center"/>
          </w:tcPr>
          <w:p w14:paraId="326B5D18">
            <w:pPr>
              <w:jc w:val="center"/>
            </w:pPr>
          </w:p>
        </w:tc>
        <w:tc>
          <w:tcPr>
            <w:tcW w:w="619" w:type="pct"/>
            <w:vMerge w:val="continue"/>
            <w:vAlign w:val="center"/>
          </w:tcPr>
          <w:p w14:paraId="55502D72">
            <w:pPr>
              <w:jc w:val="center"/>
            </w:pPr>
          </w:p>
        </w:tc>
        <w:tc>
          <w:tcPr>
            <w:tcW w:w="791" w:type="pct"/>
            <w:gridSpan w:val="2"/>
            <w:vMerge w:val="continue"/>
            <w:vAlign w:val="center"/>
          </w:tcPr>
          <w:p w14:paraId="227E1FAB">
            <w:pPr>
              <w:jc w:val="center"/>
            </w:pPr>
          </w:p>
        </w:tc>
        <w:tc>
          <w:tcPr>
            <w:tcW w:w="392" w:type="pct"/>
            <w:vMerge w:val="continue"/>
            <w:vAlign w:val="center"/>
          </w:tcPr>
          <w:p w14:paraId="3A10D5A6">
            <w:pPr>
              <w:jc w:val="center"/>
            </w:pPr>
          </w:p>
        </w:tc>
        <w:tc>
          <w:tcPr>
            <w:tcW w:w="470" w:type="pct"/>
            <w:vMerge w:val="continue"/>
            <w:vAlign w:val="center"/>
          </w:tcPr>
          <w:p w14:paraId="4FB37F63">
            <w:pPr>
              <w:pStyle w:val="12"/>
            </w:pPr>
          </w:p>
        </w:tc>
        <w:tc>
          <w:tcPr>
            <w:tcW w:w="392" w:type="pct"/>
            <w:vAlign w:val="center"/>
          </w:tcPr>
          <w:sdt>
            <w:sdtPr>
              <w:tag w:val="_PLD_6915da337394463fbfbfce1237cbc74d"/>
              <w:id w:val="2066600124"/>
            </w:sdtPr>
            <w:sdtContent>
              <w:p w14:paraId="7F248647">
                <w:pPr>
                  <w:jc w:val="center"/>
                </w:pPr>
                <w:r>
                  <w:t>股份状态</w:t>
                </w:r>
              </w:p>
            </w:sdtContent>
          </w:sdt>
        </w:tc>
        <w:tc>
          <w:tcPr>
            <w:tcW w:w="789" w:type="pct"/>
            <w:vAlign w:val="center"/>
          </w:tcPr>
          <w:sdt>
            <w:sdtPr>
              <w:tag w:val="_PLD_dcfaf8e2624d4c3da835dfee44d622fa"/>
              <w:id w:val="896006553"/>
            </w:sdtPr>
            <w:sdtContent>
              <w:p w14:paraId="1CE5216C">
                <w:pPr>
                  <w:jc w:val="center"/>
                </w:pPr>
                <w:r>
                  <w:rPr>
                    <w:rFonts w:hint="eastAsia"/>
                  </w:rPr>
                  <w:t>数量</w:t>
                </w:r>
              </w:p>
            </w:sdtContent>
          </w:sdt>
        </w:tc>
      </w:tr>
      <w:tr w14:paraId="3DA2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7B2EDC9F">
            <w:r>
              <w:t>东宝实业集团股份有限公司</w:t>
            </w:r>
          </w:p>
        </w:tc>
        <w:sdt>
          <w:sdtPr>
            <w:alias w:val="前十名股东的股东性质"/>
            <w:tag w:val="_GBC_2b683d4f8d754502b4edb69c1ad9e9c7"/>
            <w:id w:val="-85194975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9" w:type="pct"/>
                <w:vAlign w:val="center"/>
              </w:tcPr>
              <w:p w14:paraId="266AFE79">
                <w:pPr>
                  <w:jc w:val="center"/>
                  <w:rPr>
                    <w:color w:val="FF9900"/>
                  </w:rPr>
                </w:pPr>
                <w:r>
                  <w:t>境内非国有法人</w:t>
                </w:r>
              </w:p>
            </w:tc>
          </w:sdtContent>
        </w:sdt>
        <w:tc>
          <w:tcPr>
            <w:tcW w:w="791" w:type="pct"/>
            <w:gridSpan w:val="2"/>
            <w:vAlign w:val="center"/>
          </w:tcPr>
          <w:p w14:paraId="3FC5A5A2">
            <w:pPr>
              <w:jc w:val="right"/>
            </w:pPr>
            <w:r>
              <w:t>613,823,496</w:t>
            </w:r>
          </w:p>
        </w:tc>
        <w:tc>
          <w:tcPr>
            <w:tcW w:w="392" w:type="pct"/>
            <w:vAlign w:val="center"/>
          </w:tcPr>
          <w:p w14:paraId="3F2A5E4D">
            <w:pPr>
              <w:jc w:val="right"/>
            </w:pPr>
            <w:r>
              <w:t>31.34</w:t>
            </w:r>
          </w:p>
        </w:tc>
        <w:tc>
          <w:tcPr>
            <w:tcW w:w="470" w:type="pct"/>
            <w:vAlign w:val="center"/>
          </w:tcPr>
          <w:p w14:paraId="24D521A6">
            <w:pPr>
              <w:jc w:val="right"/>
            </w:pPr>
            <w:r>
              <w:rPr>
                <w:rFonts w:hint="eastAsia"/>
              </w:rPr>
              <w:t>0</w:t>
            </w:r>
          </w:p>
        </w:tc>
        <w:sdt>
          <w:sdtPr>
            <w:alias w:val="前十名股东持有股份状态"/>
            <w:tag w:val="_GBC_705d317d75954a388fb48e155e13819a"/>
            <w:id w:val="114700953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2462788C">
                <w:pPr>
                  <w:jc w:val="center"/>
                  <w:rPr>
                    <w:color w:val="FF9900"/>
                  </w:rPr>
                </w:pPr>
                <w:r>
                  <w:t>质押</w:t>
                </w:r>
              </w:p>
            </w:tc>
          </w:sdtContent>
        </w:sdt>
        <w:tc>
          <w:tcPr>
            <w:tcW w:w="789" w:type="pct"/>
            <w:vAlign w:val="center"/>
          </w:tcPr>
          <w:p w14:paraId="6F82AE34">
            <w:pPr>
              <w:jc w:val="right"/>
            </w:pPr>
            <w:r>
              <w:t>565,939,472</w:t>
            </w:r>
          </w:p>
        </w:tc>
      </w:tr>
      <w:tr w14:paraId="1B6B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77D94361">
            <w:r>
              <w:t>天津桢逸股权投资合伙企业（有限合伙）</w:t>
            </w:r>
          </w:p>
        </w:tc>
        <w:sdt>
          <w:sdtPr>
            <w:alias w:val="前十名股东的股东性质"/>
            <w:tag w:val="_GBC_2b683d4f8d754502b4edb69c1ad9e9c7"/>
            <w:id w:val="-158413011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9" w:type="pct"/>
                <w:vAlign w:val="center"/>
              </w:tcPr>
              <w:p w14:paraId="103ECAFA">
                <w:pPr>
                  <w:jc w:val="center"/>
                  <w:rPr>
                    <w:color w:val="FF9900"/>
                  </w:rPr>
                </w:pPr>
                <w:r>
                  <w:t>其他</w:t>
                </w:r>
              </w:p>
            </w:tc>
          </w:sdtContent>
        </w:sdt>
        <w:tc>
          <w:tcPr>
            <w:tcW w:w="791" w:type="pct"/>
            <w:gridSpan w:val="2"/>
            <w:vAlign w:val="center"/>
          </w:tcPr>
          <w:p w14:paraId="0E9E3CE4">
            <w:pPr>
              <w:jc w:val="right"/>
            </w:pPr>
            <w:r>
              <w:t>183,058,967</w:t>
            </w:r>
          </w:p>
        </w:tc>
        <w:tc>
          <w:tcPr>
            <w:tcW w:w="392" w:type="pct"/>
            <w:vAlign w:val="center"/>
          </w:tcPr>
          <w:p w14:paraId="516F85AF">
            <w:pPr>
              <w:jc w:val="right"/>
            </w:pPr>
            <w:r>
              <w:t>9.35</w:t>
            </w:r>
          </w:p>
        </w:tc>
        <w:tc>
          <w:tcPr>
            <w:tcW w:w="470" w:type="pct"/>
            <w:vAlign w:val="center"/>
          </w:tcPr>
          <w:p w14:paraId="7303E6B2">
            <w:pPr>
              <w:jc w:val="right"/>
            </w:pPr>
            <w:r>
              <w:rPr>
                <w:rFonts w:hint="eastAsia"/>
              </w:rPr>
              <w:t>0</w:t>
            </w:r>
          </w:p>
        </w:tc>
        <w:sdt>
          <w:sdtPr>
            <w:alias w:val="前十名股东持有股份状态"/>
            <w:tag w:val="_GBC_705d317d75954a388fb48e155e13819a"/>
            <w:id w:val="176649793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5B13435E">
                <w:pPr>
                  <w:jc w:val="center"/>
                  <w:rPr>
                    <w:color w:val="FF9900"/>
                  </w:rPr>
                </w:pPr>
                <w:r>
                  <w:t>无</w:t>
                </w:r>
              </w:p>
            </w:tc>
          </w:sdtContent>
        </w:sdt>
        <w:tc>
          <w:tcPr>
            <w:tcW w:w="789" w:type="pct"/>
            <w:vAlign w:val="center"/>
          </w:tcPr>
          <w:p w14:paraId="25591CE3">
            <w:pPr>
              <w:jc w:val="right"/>
            </w:pPr>
            <w:r>
              <w:rPr>
                <w:rFonts w:hint="eastAsia"/>
              </w:rPr>
              <w:t>0</w:t>
            </w:r>
          </w:p>
        </w:tc>
      </w:tr>
      <w:tr w14:paraId="3131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3C49F943">
            <w:r>
              <w:t>香港中央结算有限公司</w:t>
            </w:r>
          </w:p>
        </w:tc>
        <w:sdt>
          <w:sdtPr>
            <w:alias w:val="前十名股东的股东性质"/>
            <w:tag w:val="_GBC_2b683d4f8d754502b4edb69c1ad9e9c7"/>
            <w:id w:val="2221543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9" w:type="pct"/>
                <w:vAlign w:val="center"/>
              </w:tcPr>
              <w:p w14:paraId="19FDB219">
                <w:pPr>
                  <w:jc w:val="center"/>
                  <w:rPr>
                    <w:color w:val="FF9900"/>
                  </w:rPr>
                </w:pPr>
                <w:r>
                  <w:t>其他</w:t>
                </w:r>
              </w:p>
            </w:tc>
          </w:sdtContent>
        </w:sdt>
        <w:tc>
          <w:tcPr>
            <w:tcW w:w="791" w:type="pct"/>
            <w:gridSpan w:val="2"/>
            <w:vAlign w:val="center"/>
          </w:tcPr>
          <w:p w14:paraId="7DE801F9">
            <w:pPr>
              <w:jc w:val="right"/>
            </w:pPr>
            <w:r>
              <w:t>35,844,271</w:t>
            </w:r>
          </w:p>
        </w:tc>
        <w:tc>
          <w:tcPr>
            <w:tcW w:w="392" w:type="pct"/>
            <w:vAlign w:val="center"/>
          </w:tcPr>
          <w:p w14:paraId="77BA7160">
            <w:pPr>
              <w:jc w:val="right"/>
            </w:pPr>
            <w:r>
              <w:t>1.83</w:t>
            </w:r>
          </w:p>
        </w:tc>
        <w:tc>
          <w:tcPr>
            <w:tcW w:w="470" w:type="pct"/>
            <w:vAlign w:val="center"/>
          </w:tcPr>
          <w:p w14:paraId="36D07EE9">
            <w:pPr>
              <w:jc w:val="right"/>
            </w:pPr>
            <w:r>
              <w:rPr>
                <w:rFonts w:hint="eastAsia"/>
              </w:rPr>
              <w:t>0</w:t>
            </w:r>
          </w:p>
        </w:tc>
        <w:sdt>
          <w:sdtPr>
            <w:alias w:val="前十名股东持有股份状态"/>
            <w:tag w:val="_GBC_705d317d75954a388fb48e155e13819a"/>
            <w:id w:val="-316647239"/>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6AEC13E0">
                <w:pPr>
                  <w:jc w:val="center"/>
                  <w:rPr>
                    <w:color w:val="FF9900"/>
                  </w:rPr>
                </w:pPr>
                <w:r>
                  <w:t>无</w:t>
                </w:r>
              </w:p>
            </w:tc>
          </w:sdtContent>
        </w:sdt>
        <w:tc>
          <w:tcPr>
            <w:tcW w:w="789" w:type="pct"/>
            <w:vAlign w:val="center"/>
          </w:tcPr>
          <w:p w14:paraId="61E2BFB3">
            <w:pPr>
              <w:jc w:val="right"/>
            </w:pPr>
            <w:r>
              <w:rPr>
                <w:rFonts w:hint="eastAsia"/>
              </w:rPr>
              <w:t>0</w:t>
            </w:r>
          </w:p>
        </w:tc>
      </w:tr>
      <w:tr w14:paraId="76BB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5787E7AF">
            <w:r>
              <w:t>阿布达比投资局</w:t>
            </w:r>
          </w:p>
        </w:tc>
        <w:sdt>
          <w:sdtPr>
            <w:alias w:val="前十名股东的股东性质"/>
            <w:tag w:val="_GBC_2b683d4f8d754502b4edb69c1ad9e9c7"/>
            <w:id w:val="44727855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9" w:type="pct"/>
                <w:vAlign w:val="center"/>
              </w:tcPr>
              <w:p w14:paraId="6DD23E24">
                <w:pPr>
                  <w:jc w:val="center"/>
                  <w:rPr>
                    <w:color w:val="FF9900"/>
                  </w:rPr>
                </w:pPr>
                <w:r>
                  <w:t>其他</w:t>
                </w:r>
              </w:p>
            </w:tc>
          </w:sdtContent>
        </w:sdt>
        <w:tc>
          <w:tcPr>
            <w:tcW w:w="791" w:type="pct"/>
            <w:gridSpan w:val="2"/>
            <w:vAlign w:val="center"/>
          </w:tcPr>
          <w:p w14:paraId="6D6C64B4">
            <w:pPr>
              <w:jc w:val="right"/>
            </w:pPr>
            <w:r>
              <w:t>32,960,513</w:t>
            </w:r>
          </w:p>
        </w:tc>
        <w:tc>
          <w:tcPr>
            <w:tcW w:w="392" w:type="pct"/>
            <w:vAlign w:val="center"/>
          </w:tcPr>
          <w:p w14:paraId="0AAE73C6">
            <w:pPr>
              <w:jc w:val="right"/>
            </w:pPr>
            <w:r>
              <w:t>1.68</w:t>
            </w:r>
          </w:p>
        </w:tc>
        <w:tc>
          <w:tcPr>
            <w:tcW w:w="470" w:type="pct"/>
            <w:vAlign w:val="center"/>
          </w:tcPr>
          <w:p w14:paraId="6912CCAA">
            <w:pPr>
              <w:jc w:val="right"/>
            </w:pPr>
            <w:r>
              <w:rPr>
                <w:rFonts w:hint="eastAsia"/>
              </w:rPr>
              <w:t>0</w:t>
            </w:r>
          </w:p>
        </w:tc>
        <w:sdt>
          <w:sdtPr>
            <w:alias w:val="前十名股东持有股份状态"/>
            <w:tag w:val="_GBC_705d317d75954a388fb48e155e13819a"/>
            <w:id w:val="48683208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4D09B389">
                <w:pPr>
                  <w:jc w:val="center"/>
                  <w:rPr>
                    <w:color w:val="FF9900"/>
                  </w:rPr>
                </w:pPr>
                <w:r>
                  <w:t>无</w:t>
                </w:r>
              </w:p>
            </w:tc>
          </w:sdtContent>
        </w:sdt>
        <w:tc>
          <w:tcPr>
            <w:tcW w:w="789" w:type="pct"/>
            <w:vAlign w:val="center"/>
          </w:tcPr>
          <w:p w14:paraId="38E75929">
            <w:pPr>
              <w:jc w:val="right"/>
            </w:pPr>
            <w:r>
              <w:rPr>
                <w:rFonts w:hint="eastAsia"/>
              </w:rPr>
              <w:t>0</w:t>
            </w:r>
          </w:p>
        </w:tc>
      </w:tr>
      <w:tr w14:paraId="620B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72FAB1B3">
            <w:r>
              <w:t>中国银行股份有限公司－招商国证生物医药指数分级证券投资基金</w:t>
            </w:r>
          </w:p>
        </w:tc>
        <w:sdt>
          <w:sdtPr>
            <w:alias w:val="前十名股东的股东性质"/>
            <w:tag w:val="_GBC_2b683d4f8d754502b4edb69c1ad9e9c7"/>
            <w:id w:val="134097228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9" w:type="pct"/>
                <w:vAlign w:val="center"/>
              </w:tcPr>
              <w:p w14:paraId="45B836FC">
                <w:pPr>
                  <w:jc w:val="center"/>
                  <w:rPr>
                    <w:color w:val="FF9900"/>
                  </w:rPr>
                </w:pPr>
                <w:r>
                  <w:t>其他</w:t>
                </w:r>
              </w:p>
            </w:tc>
          </w:sdtContent>
        </w:sdt>
        <w:tc>
          <w:tcPr>
            <w:tcW w:w="791" w:type="pct"/>
            <w:gridSpan w:val="2"/>
            <w:vAlign w:val="center"/>
          </w:tcPr>
          <w:p w14:paraId="4290DDF8">
            <w:pPr>
              <w:jc w:val="right"/>
            </w:pPr>
            <w:r>
              <w:t>17,224,477</w:t>
            </w:r>
          </w:p>
        </w:tc>
        <w:tc>
          <w:tcPr>
            <w:tcW w:w="392" w:type="pct"/>
            <w:vAlign w:val="center"/>
          </w:tcPr>
          <w:p w14:paraId="54573194">
            <w:pPr>
              <w:jc w:val="right"/>
            </w:pPr>
            <w:r>
              <w:t>0.88</w:t>
            </w:r>
          </w:p>
        </w:tc>
        <w:tc>
          <w:tcPr>
            <w:tcW w:w="470" w:type="pct"/>
            <w:vAlign w:val="center"/>
          </w:tcPr>
          <w:p w14:paraId="2B4B6894">
            <w:pPr>
              <w:jc w:val="right"/>
            </w:pPr>
            <w:r>
              <w:rPr>
                <w:rFonts w:hint="eastAsia"/>
              </w:rPr>
              <w:t>0</w:t>
            </w:r>
          </w:p>
        </w:tc>
        <w:sdt>
          <w:sdtPr>
            <w:alias w:val="前十名股东持有股份状态"/>
            <w:tag w:val="_GBC_705d317d75954a388fb48e155e13819a"/>
            <w:id w:val="52722102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619912EF">
                <w:pPr>
                  <w:jc w:val="center"/>
                  <w:rPr>
                    <w:color w:val="FF9900"/>
                  </w:rPr>
                </w:pPr>
                <w:r>
                  <w:t>无</w:t>
                </w:r>
              </w:p>
            </w:tc>
          </w:sdtContent>
        </w:sdt>
        <w:tc>
          <w:tcPr>
            <w:tcW w:w="789" w:type="pct"/>
            <w:vAlign w:val="center"/>
          </w:tcPr>
          <w:p w14:paraId="6DDC4ED5">
            <w:pPr>
              <w:jc w:val="right"/>
            </w:pPr>
            <w:r>
              <w:rPr>
                <w:rFonts w:hint="eastAsia"/>
              </w:rPr>
              <w:t>0</w:t>
            </w:r>
          </w:p>
        </w:tc>
      </w:tr>
      <w:tr w14:paraId="0682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44A3F3D8">
            <w:r>
              <w:t>中国农业银行股份有限公司－中证500交易型开放式指数证券投资基金</w:t>
            </w:r>
          </w:p>
        </w:tc>
        <w:sdt>
          <w:sdtPr>
            <w:alias w:val="前十名股东的股东性质"/>
            <w:tag w:val="_GBC_2b683d4f8d754502b4edb69c1ad9e9c7"/>
            <w:id w:val="127644765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9" w:type="pct"/>
                <w:vAlign w:val="center"/>
              </w:tcPr>
              <w:p w14:paraId="51CB16C0">
                <w:pPr>
                  <w:jc w:val="center"/>
                  <w:rPr>
                    <w:color w:val="FF9900"/>
                  </w:rPr>
                </w:pPr>
                <w:r>
                  <w:t>其他</w:t>
                </w:r>
              </w:p>
            </w:tc>
          </w:sdtContent>
        </w:sdt>
        <w:tc>
          <w:tcPr>
            <w:tcW w:w="791" w:type="pct"/>
            <w:gridSpan w:val="2"/>
            <w:vAlign w:val="center"/>
          </w:tcPr>
          <w:p w14:paraId="46C3DF6D">
            <w:pPr>
              <w:jc w:val="right"/>
            </w:pPr>
            <w:r>
              <w:t>17,053,907</w:t>
            </w:r>
          </w:p>
        </w:tc>
        <w:tc>
          <w:tcPr>
            <w:tcW w:w="392" w:type="pct"/>
            <w:vAlign w:val="center"/>
          </w:tcPr>
          <w:p w14:paraId="592349F4">
            <w:pPr>
              <w:jc w:val="right"/>
            </w:pPr>
            <w:r>
              <w:t>0.87</w:t>
            </w:r>
          </w:p>
        </w:tc>
        <w:tc>
          <w:tcPr>
            <w:tcW w:w="470" w:type="pct"/>
            <w:vAlign w:val="center"/>
          </w:tcPr>
          <w:p w14:paraId="634EC25D">
            <w:pPr>
              <w:jc w:val="right"/>
            </w:pPr>
            <w:r>
              <w:rPr>
                <w:rFonts w:hint="eastAsia"/>
              </w:rPr>
              <w:t>0</w:t>
            </w:r>
          </w:p>
        </w:tc>
        <w:sdt>
          <w:sdtPr>
            <w:alias w:val="前十名股东持有股份状态"/>
            <w:tag w:val="_GBC_705d317d75954a388fb48e155e13819a"/>
            <w:id w:val="-1862275108"/>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0BEF1231">
                <w:pPr>
                  <w:jc w:val="center"/>
                  <w:rPr>
                    <w:color w:val="FF9900"/>
                  </w:rPr>
                </w:pPr>
                <w:r>
                  <w:t>无</w:t>
                </w:r>
              </w:p>
            </w:tc>
          </w:sdtContent>
        </w:sdt>
        <w:tc>
          <w:tcPr>
            <w:tcW w:w="789" w:type="pct"/>
            <w:vAlign w:val="center"/>
          </w:tcPr>
          <w:p w14:paraId="4440F1BB">
            <w:pPr>
              <w:jc w:val="right"/>
            </w:pPr>
            <w:r>
              <w:rPr>
                <w:rFonts w:hint="eastAsia"/>
              </w:rPr>
              <w:t>0</w:t>
            </w:r>
          </w:p>
        </w:tc>
      </w:tr>
      <w:tr w14:paraId="3B15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20792966">
            <w:r>
              <w:t>上海银行股份有限公司－银华中证创新药产业交易型开放式指数证券投资基金</w:t>
            </w:r>
          </w:p>
        </w:tc>
        <w:sdt>
          <w:sdtPr>
            <w:alias w:val="前十名股东的股东性质"/>
            <w:tag w:val="_GBC_2b683d4f8d754502b4edb69c1ad9e9c7"/>
            <w:id w:val="81452739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9" w:type="pct"/>
                <w:vAlign w:val="center"/>
              </w:tcPr>
              <w:p w14:paraId="756751E1">
                <w:pPr>
                  <w:jc w:val="center"/>
                  <w:rPr>
                    <w:color w:val="FF9900"/>
                  </w:rPr>
                </w:pPr>
                <w:r>
                  <w:t>其他</w:t>
                </w:r>
              </w:p>
            </w:tc>
          </w:sdtContent>
        </w:sdt>
        <w:tc>
          <w:tcPr>
            <w:tcW w:w="791" w:type="pct"/>
            <w:gridSpan w:val="2"/>
            <w:vAlign w:val="center"/>
          </w:tcPr>
          <w:p w14:paraId="0B58C863">
            <w:pPr>
              <w:jc w:val="right"/>
            </w:pPr>
            <w:r>
              <w:t>11,558,211</w:t>
            </w:r>
          </w:p>
        </w:tc>
        <w:tc>
          <w:tcPr>
            <w:tcW w:w="392" w:type="pct"/>
            <w:vAlign w:val="center"/>
          </w:tcPr>
          <w:p w14:paraId="6D719B29">
            <w:pPr>
              <w:jc w:val="right"/>
            </w:pPr>
            <w:r>
              <w:t>0.59</w:t>
            </w:r>
          </w:p>
        </w:tc>
        <w:tc>
          <w:tcPr>
            <w:tcW w:w="470" w:type="pct"/>
            <w:vAlign w:val="center"/>
          </w:tcPr>
          <w:p w14:paraId="6E2B4F0F">
            <w:pPr>
              <w:jc w:val="right"/>
            </w:pPr>
            <w:r>
              <w:rPr>
                <w:rFonts w:hint="eastAsia"/>
              </w:rPr>
              <w:t>0</w:t>
            </w:r>
          </w:p>
        </w:tc>
        <w:sdt>
          <w:sdtPr>
            <w:alias w:val="前十名股东持有股份状态"/>
            <w:tag w:val="_GBC_705d317d75954a388fb48e155e13819a"/>
            <w:id w:val="-100220168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09918D6D">
                <w:pPr>
                  <w:jc w:val="center"/>
                  <w:rPr>
                    <w:color w:val="FF9900"/>
                  </w:rPr>
                </w:pPr>
                <w:r>
                  <w:t>无</w:t>
                </w:r>
              </w:p>
            </w:tc>
          </w:sdtContent>
        </w:sdt>
        <w:tc>
          <w:tcPr>
            <w:tcW w:w="789" w:type="pct"/>
            <w:vAlign w:val="center"/>
          </w:tcPr>
          <w:p w14:paraId="5FE688EE">
            <w:pPr>
              <w:jc w:val="right"/>
            </w:pPr>
            <w:r>
              <w:rPr>
                <w:rFonts w:hint="eastAsia"/>
              </w:rPr>
              <w:t>0</w:t>
            </w:r>
          </w:p>
        </w:tc>
      </w:tr>
      <w:tr w14:paraId="4410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31C265B0">
            <w:r>
              <w:t>李一奎</w:t>
            </w:r>
          </w:p>
        </w:tc>
        <w:sdt>
          <w:sdtPr>
            <w:alias w:val="前十名股东的股东性质"/>
            <w:tag w:val="_GBC_2b683d4f8d754502b4edb69c1ad9e9c7"/>
            <w:id w:val="-18953556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9" w:type="pct"/>
                <w:vAlign w:val="center"/>
              </w:tcPr>
              <w:p w14:paraId="5E55B84B">
                <w:pPr>
                  <w:jc w:val="center"/>
                  <w:rPr>
                    <w:color w:val="FF9900"/>
                  </w:rPr>
                </w:pPr>
                <w:r>
                  <w:t>境内自然人</w:t>
                </w:r>
              </w:p>
            </w:tc>
          </w:sdtContent>
        </w:sdt>
        <w:tc>
          <w:tcPr>
            <w:tcW w:w="791" w:type="pct"/>
            <w:gridSpan w:val="2"/>
            <w:vAlign w:val="center"/>
          </w:tcPr>
          <w:p w14:paraId="6E483BDD">
            <w:pPr>
              <w:jc w:val="right"/>
            </w:pPr>
            <w:r>
              <w:t>11,328,579</w:t>
            </w:r>
          </w:p>
        </w:tc>
        <w:tc>
          <w:tcPr>
            <w:tcW w:w="392" w:type="pct"/>
            <w:vAlign w:val="center"/>
          </w:tcPr>
          <w:p w14:paraId="73C2C1C7">
            <w:pPr>
              <w:jc w:val="right"/>
            </w:pPr>
            <w:r>
              <w:t>0.58</w:t>
            </w:r>
          </w:p>
        </w:tc>
        <w:tc>
          <w:tcPr>
            <w:tcW w:w="470" w:type="pct"/>
            <w:vAlign w:val="center"/>
          </w:tcPr>
          <w:p w14:paraId="7F724C89">
            <w:pPr>
              <w:jc w:val="right"/>
            </w:pPr>
            <w:r>
              <w:rPr>
                <w:rFonts w:hint="eastAsia"/>
              </w:rPr>
              <w:t>0</w:t>
            </w:r>
          </w:p>
        </w:tc>
        <w:sdt>
          <w:sdtPr>
            <w:alias w:val="前十名股东持有股份状态"/>
            <w:tag w:val="_GBC_705d317d75954a388fb48e155e13819a"/>
            <w:id w:val="-1304076078"/>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7203D4C6">
                <w:pPr>
                  <w:jc w:val="center"/>
                  <w:rPr>
                    <w:color w:val="FF9900"/>
                  </w:rPr>
                </w:pPr>
                <w:r>
                  <w:t>无</w:t>
                </w:r>
              </w:p>
            </w:tc>
          </w:sdtContent>
        </w:sdt>
        <w:tc>
          <w:tcPr>
            <w:tcW w:w="789" w:type="pct"/>
            <w:vAlign w:val="center"/>
          </w:tcPr>
          <w:p w14:paraId="5D48B799">
            <w:pPr>
              <w:jc w:val="right"/>
            </w:pPr>
            <w:r>
              <w:rPr>
                <w:rFonts w:hint="eastAsia"/>
              </w:rPr>
              <w:t>0</w:t>
            </w:r>
          </w:p>
        </w:tc>
      </w:tr>
      <w:tr w14:paraId="7F65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05FB723C">
            <w:r>
              <w:t>通化东宝药业股份有限公司－2025年员工持股计划</w:t>
            </w:r>
          </w:p>
        </w:tc>
        <w:sdt>
          <w:sdtPr>
            <w:alias w:val="前十名股东的股东性质"/>
            <w:tag w:val="_GBC_2b683d4f8d754502b4edb69c1ad9e9c7"/>
            <w:id w:val="-107350154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9" w:type="pct"/>
                <w:vAlign w:val="center"/>
              </w:tcPr>
              <w:p w14:paraId="54607E25">
                <w:pPr>
                  <w:jc w:val="center"/>
                  <w:rPr>
                    <w:color w:val="FF9900"/>
                  </w:rPr>
                </w:pPr>
                <w:r>
                  <w:t>其他</w:t>
                </w:r>
              </w:p>
            </w:tc>
          </w:sdtContent>
        </w:sdt>
        <w:tc>
          <w:tcPr>
            <w:tcW w:w="791" w:type="pct"/>
            <w:gridSpan w:val="2"/>
            <w:vAlign w:val="center"/>
          </w:tcPr>
          <w:p w14:paraId="09946F82">
            <w:pPr>
              <w:jc w:val="right"/>
            </w:pPr>
            <w:r>
              <w:t>9,290,000</w:t>
            </w:r>
          </w:p>
        </w:tc>
        <w:tc>
          <w:tcPr>
            <w:tcW w:w="392" w:type="pct"/>
            <w:vAlign w:val="center"/>
          </w:tcPr>
          <w:p w14:paraId="76C49016">
            <w:pPr>
              <w:jc w:val="right"/>
            </w:pPr>
            <w:r>
              <w:t>0.47</w:t>
            </w:r>
          </w:p>
        </w:tc>
        <w:tc>
          <w:tcPr>
            <w:tcW w:w="470" w:type="pct"/>
            <w:vAlign w:val="center"/>
          </w:tcPr>
          <w:p w14:paraId="3DFDD7B1">
            <w:pPr>
              <w:jc w:val="right"/>
            </w:pPr>
            <w:r>
              <w:rPr>
                <w:rFonts w:hint="eastAsia"/>
              </w:rPr>
              <w:t>0</w:t>
            </w:r>
          </w:p>
        </w:tc>
        <w:sdt>
          <w:sdtPr>
            <w:alias w:val="前十名股东持有股份状态"/>
            <w:tag w:val="_GBC_705d317d75954a388fb48e155e13819a"/>
            <w:id w:val="-30346976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7FC34122">
                <w:pPr>
                  <w:jc w:val="center"/>
                  <w:rPr>
                    <w:color w:val="FF9900"/>
                  </w:rPr>
                </w:pPr>
                <w:r>
                  <w:t>无</w:t>
                </w:r>
              </w:p>
            </w:tc>
          </w:sdtContent>
        </w:sdt>
        <w:tc>
          <w:tcPr>
            <w:tcW w:w="789" w:type="pct"/>
            <w:vAlign w:val="center"/>
          </w:tcPr>
          <w:p w14:paraId="1419AA47">
            <w:pPr>
              <w:jc w:val="right"/>
            </w:pPr>
            <w:r>
              <w:rPr>
                <w:rFonts w:hint="eastAsia"/>
              </w:rPr>
              <w:t>0</w:t>
            </w:r>
          </w:p>
        </w:tc>
      </w:tr>
      <w:tr w14:paraId="5011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1FA525FD">
            <w:r>
              <w:t>通化吉祥创赢投资管理中心</w:t>
            </w:r>
          </w:p>
        </w:tc>
        <w:sdt>
          <w:sdtPr>
            <w:alias w:val="前十名股东的股东性质"/>
            <w:tag w:val="_GBC_2b683d4f8d754502b4edb69c1ad9e9c7"/>
            <w:id w:val="-45324359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9" w:type="pct"/>
                <w:vAlign w:val="center"/>
              </w:tcPr>
              <w:p w14:paraId="0DCCB829">
                <w:pPr>
                  <w:jc w:val="center"/>
                  <w:rPr>
                    <w:color w:val="FF9900"/>
                  </w:rPr>
                </w:pPr>
                <w:r>
                  <w:t>其他</w:t>
                </w:r>
              </w:p>
            </w:tc>
          </w:sdtContent>
        </w:sdt>
        <w:tc>
          <w:tcPr>
            <w:tcW w:w="791" w:type="pct"/>
            <w:gridSpan w:val="2"/>
            <w:vAlign w:val="center"/>
          </w:tcPr>
          <w:p w14:paraId="1D83DB79">
            <w:pPr>
              <w:jc w:val="right"/>
            </w:pPr>
            <w:r>
              <w:t>7,318,163</w:t>
            </w:r>
          </w:p>
        </w:tc>
        <w:tc>
          <w:tcPr>
            <w:tcW w:w="392" w:type="pct"/>
            <w:vAlign w:val="center"/>
          </w:tcPr>
          <w:p w14:paraId="2DA57F5E">
            <w:pPr>
              <w:jc w:val="right"/>
            </w:pPr>
            <w:r>
              <w:t>0.37</w:t>
            </w:r>
          </w:p>
        </w:tc>
        <w:tc>
          <w:tcPr>
            <w:tcW w:w="470" w:type="pct"/>
            <w:vAlign w:val="center"/>
          </w:tcPr>
          <w:p w14:paraId="117502BF">
            <w:pPr>
              <w:jc w:val="right"/>
            </w:pPr>
            <w:r>
              <w:rPr>
                <w:rFonts w:hint="eastAsia"/>
              </w:rPr>
              <w:t>0</w:t>
            </w:r>
          </w:p>
        </w:tc>
        <w:sdt>
          <w:sdtPr>
            <w:alias w:val="前十名股东持有股份状态"/>
            <w:tag w:val="_GBC_705d317d75954a388fb48e155e13819a"/>
            <w:id w:val="185978389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14916BBE">
                <w:pPr>
                  <w:jc w:val="center"/>
                  <w:rPr>
                    <w:color w:val="FF9900"/>
                  </w:rPr>
                </w:pPr>
                <w:r>
                  <w:t>无</w:t>
                </w:r>
              </w:p>
            </w:tc>
          </w:sdtContent>
        </w:sdt>
        <w:tc>
          <w:tcPr>
            <w:tcW w:w="789" w:type="pct"/>
            <w:vAlign w:val="center"/>
          </w:tcPr>
          <w:p w14:paraId="4F6D03BE">
            <w:pPr>
              <w:jc w:val="right"/>
            </w:pPr>
            <w:r>
              <w:rPr>
                <w:rFonts w:hint="eastAsia"/>
              </w:rPr>
              <w:t>0</w:t>
            </w:r>
          </w:p>
        </w:tc>
      </w:tr>
      <w:tr w14:paraId="141F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sdt>
          <w:sdtPr>
            <w:tag w:val="_PLD_aa34f6e9919341bea2bc7a44bbdf8955"/>
            <w:id w:val="534931116"/>
          </w:sdtPr>
          <w:sdtContent>
            <w:tc>
              <w:tcPr>
                <w:tcW w:w="5000" w:type="pct"/>
                <w:gridSpan w:val="8"/>
              </w:tcPr>
              <w:p w14:paraId="7F86FBF4">
                <w:pPr>
                  <w:jc w:val="center"/>
                  <w:rPr>
                    <w:color w:val="FF9900"/>
                  </w:rPr>
                </w:pPr>
                <w:r>
                  <w:t>前</w:t>
                </w:r>
                <w:r>
                  <w:rPr>
                    <w:rFonts w:hint="eastAsia"/>
                  </w:rPr>
                  <w:t>1</w:t>
                </w:r>
                <w:r>
                  <w:t>0名无限售条件股东持股情况</w:t>
                </w:r>
                <w:r>
                  <w:rPr>
                    <w:rFonts w:hint="eastAsia"/>
                  </w:rPr>
                  <w:t>（不含通过转融通出借股份）</w:t>
                </w:r>
              </w:p>
            </w:tc>
          </w:sdtContent>
        </w:sdt>
      </w:tr>
      <w:tr w14:paraId="7917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sdt>
          <w:sdtPr>
            <w:tag w:val="_PLD_5791c0b50fa4491fb789d4ea0a5aeddf"/>
            <w:id w:val="676009500"/>
          </w:sdtPr>
          <w:sdtContent>
            <w:tc>
              <w:tcPr>
                <w:tcW w:w="1548" w:type="pct"/>
                <w:vMerge w:val="restart"/>
                <w:vAlign w:val="center"/>
              </w:tcPr>
              <w:p w14:paraId="756918FE">
                <w:pPr>
                  <w:rPr>
                    <w:color w:val="FF9900"/>
                  </w:rPr>
                </w:pPr>
                <w:r>
                  <w:t>股东名称</w:t>
                </w:r>
              </w:p>
            </w:tc>
          </w:sdtContent>
        </w:sdt>
        <w:sdt>
          <w:sdtPr>
            <w:tag w:val="_PLD_1cc48355a8b04b08aed2297d14e8bb12"/>
            <w:id w:val="-2046739821"/>
          </w:sdtPr>
          <w:sdtContent>
            <w:tc>
              <w:tcPr>
                <w:tcW w:w="1341" w:type="pct"/>
                <w:gridSpan w:val="2"/>
                <w:vMerge w:val="restart"/>
                <w:vAlign w:val="center"/>
              </w:tcPr>
              <w:p w14:paraId="1E65E1E3">
                <w:pPr>
                  <w:jc w:val="center"/>
                  <w:rPr>
                    <w:color w:val="FF9900"/>
                  </w:rPr>
                </w:pPr>
                <w:r>
                  <w:t>持有无限售条件流通股的数量</w:t>
                </w:r>
              </w:p>
            </w:tc>
          </w:sdtContent>
        </w:sdt>
        <w:sdt>
          <w:sdtPr>
            <w:tag w:val="_PLD_018efc2d84ea407aa00a77a5aee4d335"/>
            <w:id w:val="1527754406"/>
          </w:sdtPr>
          <w:sdtContent>
            <w:tc>
              <w:tcPr>
                <w:tcW w:w="2111" w:type="pct"/>
                <w:gridSpan w:val="5"/>
                <w:tcBorders>
                  <w:bottom w:val="single" w:color="auto" w:sz="4" w:space="0"/>
                </w:tcBorders>
                <w:vAlign w:val="center"/>
              </w:tcPr>
              <w:p w14:paraId="08CDFAC9">
                <w:pPr>
                  <w:jc w:val="center"/>
                  <w:rPr>
                    <w:color w:val="FF9900"/>
                  </w:rPr>
                </w:pPr>
                <w:r>
                  <w:t>股份种类</w:t>
                </w:r>
                <w:r>
                  <w:rPr>
                    <w:rFonts w:hint="eastAsia"/>
                  </w:rPr>
                  <w:t>及数量</w:t>
                </w:r>
              </w:p>
            </w:tc>
          </w:sdtContent>
        </w:sdt>
      </w:tr>
      <w:tr w14:paraId="0817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Merge w:val="continue"/>
          </w:tcPr>
          <w:p w14:paraId="1F3613BE">
            <w:pPr>
              <w:rPr>
                <w:color w:val="FF9900"/>
              </w:rPr>
            </w:pPr>
          </w:p>
        </w:tc>
        <w:tc>
          <w:tcPr>
            <w:tcW w:w="1341" w:type="pct"/>
            <w:gridSpan w:val="2"/>
            <w:vMerge w:val="continue"/>
          </w:tcPr>
          <w:p w14:paraId="1B7DDDB5">
            <w:pPr>
              <w:rPr>
                <w:color w:val="FF9900"/>
              </w:rPr>
            </w:pPr>
          </w:p>
        </w:tc>
        <w:sdt>
          <w:sdtPr>
            <w:tag w:val="_PLD_7127b4b2ac1643708953e5b57fdc76dd"/>
            <w:id w:val="1820915981"/>
          </w:sdtPr>
          <w:sdtContent>
            <w:tc>
              <w:tcPr>
                <w:tcW w:w="930" w:type="pct"/>
                <w:gridSpan w:val="3"/>
                <w:vAlign w:val="center"/>
              </w:tcPr>
              <w:p w14:paraId="4E9842A7">
                <w:pPr>
                  <w:jc w:val="center"/>
                  <w:rPr>
                    <w:color w:val="008000"/>
                  </w:rPr>
                </w:pPr>
                <w:r>
                  <w:rPr>
                    <w:rFonts w:hint="eastAsia"/>
                  </w:rPr>
                  <w:t>股份种类</w:t>
                </w:r>
              </w:p>
            </w:tc>
          </w:sdtContent>
        </w:sdt>
        <w:sdt>
          <w:sdtPr>
            <w:tag w:val="_PLD_f272cb32cafb43afbe461f975f684ad3"/>
            <w:id w:val="-713273385"/>
          </w:sdtPr>
          <w:sdtContent>
            <w:tc>
              <w:tcPr>
                <w:tcW w:w="1181" w:type="pct"/>
                <w:gridSpan w:val="2"/>
              </w:tcPr>
              <w:p w14:paraId="7471CC2E">
                <w:pPr>
                  <w:jc w:val="center"/>
                  <w:rPr>
                    <w:color w:val="008000"/>
                  </w:rPr>
                </w:pPr>
                <w:r>
                  <w:rPr>
                    <w:rFonts w:hint="eastAsia" w:cs="宋体"/>
                  </w:rPr>
                  <w:t>数量</w:t>
                </w:r>
              </w:p>
            </w:tc>
          </w:sdtContent>
        </w:sdt>
      </w:tr>
      <w:tr w14:paraId="07D0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7CA7EEAD">
            <w:r>
              <w:t>东宝实业集团股份有限公司</w:t>
            </w:r>
          </w:p>
        </w:tc>
        <w:tc>
          <w:tcPr>
            <w:tcW w:w="1341" w:type="pct"/>
            <w:gridSpan w:val="2"/>
            <w:vAlign w:val="center"/>
          </w:tcPr>
          <w:p w14:paraId="23C6A2A0">
            <w:pPr>
              <w:jc w:val="right"/>
            </w:pPr>
            <w:r>
              <w:t>613,823,496</w:t>
            </w:r>
          </w:p>
        </w:tc>
        <w:sdt>
          <w:sdtPr>
            <w:rPr>
              <w:bCs/>
            </w:rPr>
            <w:alias w:val="前十名无限售条件股东期末持有流通股的种类"/>
            <w:tag w:val="_GBC_b2820e36aa864983a3a85109cc59929a"/>
            <w:id w:val="114478876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930" w:type="pct"/>
                <w:gridSpan w:val="3"/>
                <w:vAlign w:val="center"/>
              </w:tcPr>
              <w:p w14:paraId="0F61C052">
                <w:pPr>
                  <w:jc w:val="center"/>
                  <w:rPr>
                    <w:bCs/>
                  </w:rPr>
                </w:pPr>
                <w:r>
                  <w:rPr>
                    <w:bCs/>
                  </w:rPr>
                  <w:t>人民币普通股</w:t>
                </w:r>
              </w:p>
            </w:tc>
          </w:sdtContent>
        </w:sdt>
        <w:tc>
          <w:tcPr>
            <w:tcW w:w="1181" w:type="pct"/>
            <w:gridSpan w:val="2"/>
            <w:vAlign w:val="center"/>
          </w:tcPr>
          <w:p w14:paraId="1499FE91">
            <w:pPr>
              <w:jc w:val="right"/>
            </w:pPr>
            <w:r>
              <w:t>613,823,496</w:t>
            </w:r>
          </w:p>
        </w:tc>
      </w:tr>
      <w:tr w14:paraId="010C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1BB60EBB">
            <w:r>
              <w:t>天津桢逸股权投资合伙企业（有限合伙）</w:t>
            </w:r>
          </w:p>
        </w:tc>
        <w:tc>
          <w:tcPr>
            <w:tcW w:w="1341" w:type="pct"/>
            <w:gridSpan w:val="2"/>
            <w:vAlign w:val="center"/>
          </w:tcPr>
          <w:p w14:paraId="15C2C1CF">
            <w:pPr>
              <w:jc w:val="right"/>
            </w:pPr>
            <w:r>
              <w:t>183,058,967</w:t>
            </w:r>
          </w:p>
        </w:tc>
        <w:sdt>
          <w:sdtPr>
            <w:rPr>
              <w:bCs/>
            </w:rPr>
            <w:alias w:val="前十名无限售条件股东期末持有流通股的种类"/>
            <w:tag w:val="_GBC_b2820e36aa864983a3a85109cc59929a"/>
            <w:id w:val="-207957910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930" w:type="pct"/>
                <w:gridSpan w:val="3"/>
                <w:vAlign w:val="center"/>
              </w:tcPr>
              <w:p w14:paraId="546E41EC">
                <w:pPr>
                  <w:jc w:val="center"/>
                  <w:rPr>
                    <w:bCs/>
                  </w:rPr>
                </w:pPr>
                <w:r>
                  <w:rPr>
                    <w:bCs/>
                  </w:rPr>
                  <w:t>人民币普通股</w:t>
                </w:r>
              </w:p>
            </w:tc>
          </w:sdtContent>
        </w:sdt>
        <w:tc>
          <w:tcPr>
            <w:tcW w:w="1181" w:type="pct"/>
            <w:gridSpan w:val="2"/>
            <w:vAlign w:val="center"/>
          </w:tcPr>
          <w:p w14:paraId="60A7C48C">
            <w:pPr>
              <w:jc w:val="right"/>
            </w:pPr>
            <w:r>
              <w:t>183,058,967</w:t>
            </w:r>
          </w:p>
        </w:tc>
      </w:tr>
      <w:tr w14:paraId="7E72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27F3CAC5">
            <w:r>
              <w:t>香港中央结算有限公司</w:t>
            </w:r>
          </w:p>
        </w:tc>
        <w:tc>
          <w:tcPr>
            <w:tcW w:w="1341" w:type="pct"/>
            <w:gridSpan w:val="2"/>
            <w:vAlign w:val="center"/>
          </w:tcPr>
          <w:p w14:paraId="3BB3DA2E">
            <w:pPr>
              <w:jc w:val="right"/>
            </w:pPr>
            <w:r>
              <w:t>35,844,271</w:t>
            </w:r>
          </w:p>
        </w:tc>
        <w:sdt>
          <w:sdtPr>
            <w:rPr>
              <w:bCs/>
            </w:rPr>
            <w:alias w:val="前十名无限售条件股东期末持有流通股的种类"/>
            <w:tag w:val="_GBC_b2820e36aa864983a3a85109cc59929a"/>
            <w:id w:val="-78913366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930" w:type="pct"/>
                <w:gridSpan w:val="3"/>
                <w:vAlign w:val="center"/>
              </w:tcPr>
              <w:p w14:paraId="2781DEAB">
                <w:pPr>
                  <w:jc w:val="center"/>
                  <w:rPr>
                    <w:bCs/>
                  </w:rPr>
                </w:pPr>
                <w:r>
                  <w:rPr>
                    <w:bCs/>
                  </w:rPr>
                  <w:t>人民币普通股</w:t>
                </w:r>
              </w:p>
            </w:tc>
          </w:sdtContent>
        </w:sdt>
        <w:tc>
          <w:tcPr>
            <w:tcW w:w="1181" w:type="pct"/>
            <w:gridSpan w:val="2"/>
            <w:vAlign w:val="center"/>
          </w:tcPr>
          <w:p w14:paraId="43471531">
            <w:pPr>
              <w:jc w:val="right"/>
            </w:pPr>
            <w:r>
              <w:t>35,844,271</w:t>
            </w:r>
          </w:p>
        </w:tc>
      </w:tr>
      <w:tr w14:paraId="17F6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3D9DD632">
            <w:r>
              <w:t>阿布达比投资局</w:t>
            </w:r>
          </w:p>
        </w:tc>
        <w:tc>
          <w:tcPr>
            <w:tcW w:w="1341" w:type="pct"/>
            <w:gridSpan w:val="2"/>
            <w:vAlign w:val="center"/>
          </w:tcPr>
          <w:p w14:paraId="1AAB57EB">
            <w:pPr>
              <w:jc w:val="right"/>
            </w:pPr>
            <w:r>
              <w:t>32,960,513</w:t>
            </w:r>
          </w:p>
        </w:tc>
        <w:sdt>
          <w:sdtPr>
            <w:rPr>
              <w:bCs/>
            </w:rPr>
            <w:alias w:val="前十名无限售条件股东期末持有流通股的种类"/>
            <w:tag w:val="_GBC_b2820e36aa864983a3a85109cc59929a"/>
            <w:id w:val="146369990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930" w:type="pct"/>
                <w:gridSpan w:val="3"/>
                <w:vAlign w:val="center"/>
              </w:tcPr>
              <w:p w14:paraId="1CD637BB">
                <w:pPr>
                  <w:jc w:val="center"/>
                  <w:rPr>
                    <w:bCs/>
                  </w:rPr>
                </w:pPr>
                <w:r>
                  <w:rPr>
                    <w:bCs/>
                  </w:rPr>
                  <w:t>人民币普通股</w:t>
                </w:r>
              </w:p>
            </w:tc>
          </w:sdtContent>
        </w:sdt>
        <w:tc>
          <w:tcPr>
            <w:tcW w:w="1181" w:type="pct"/>
            <w:gridSpan w:val="2"/>
            <w:vAlign w:val="center"/>
          </w:tcPr>
          <w:p w14:paraId="505DA015">
            <w:pPr>
              <w:jc w:val="right"/>
            </w:pPr>
            <w:r>
              <w:t>32,960,513</w:t>
            </w:r>
          </w:p>
        </w:tc>
      </w:tr>
      <w:tr w14:paraId="4267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543D5792">
            <w:r>
              <w:t>中国银行股份有限公司－招商国证生物医药指数分级证券投资基金</w:t>
            </w:r>
          </w:p>
        </w:tc>
        <w:tc>
          <w:tcPr>
            <w:tcW w:w="1341" w:type="pct"/>
            <w:gridSpan w:val="2"/>
            <w:vAlign w:val="center"/>
          </w:tcPr>
          <w:p w14:paraId="40BCE3F3">
            <w:pPr>
              <w:jc w:val="right"/>
            </w:pPr>
            <w:r>
              <w:t>17,224,477</w:t>
            </w:r>
          </w:p>
        </w:tc>
        <w:sdt>
          <w:sdtPr>
            <w:rPr>
              <w:bCs/>
            </w:rPr>
            <w:alias w:val="前十名无限售条件股东期末持有流通股的种类"/>
            <w:tag w:val="_GBC_b2820e36aa864983a3a85109cc59929a"/>
            <w:id w:val="-67056491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930" w:type="pct"/>
                <w:gridSpan w:val="3"/>
                <w:vAlign w:val="center"/>
              </w:tcPr>
              <w:p w14:paraId="327B4D34">
                <w:pPr>
                  <w:jc w:val="center"/>
                  <w:rPr>
                    <w:bCs/>
                  </w:rPr>
                </w:pPr>
                <w:r>
                  <w:rPr>
                    <w:bCs/>
                  </w:rPr>
                  <w:t>人民币普通股</w:t>
                </w:r>
              </w:p>
            </w:tc>
          </w:sdtContent>
        </w:sdt>
        <w:tc>
          <w:tcPr>
            <w:tcW w:w="1181" w:type="pct"/>
            <w:gridSpan w:val="2"/>
            <w:vAlign w:val="center"/>
          </w:tcPr>
          <w:p w14:paraId="353F3CEA">
            <w:pPr>
              <w:jc w:val="right"/>
            </w:pPr>
            <w:r>
              <w:t>17,224,477</w:t>
            </w:r>
          </w:p>
        </w:tc>
      </w:tr>
      <w:tr w14:paraId="3EA6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59A46051">
            <w:r>
              <w:t>中国农业银行股份有限公司－中证500交易型开放式指数证券投资基金</w:t>
            </w:r>
          </w:p>
        </w:tc>
        <w:tc>
          <w:tcPr>
            <w:tcW w:w="1341" w:type="pct"/>
            <w:gridSpan w:val="2"/>
            <w:vAlign w:val="center"/>
          </w:tcPr>
          <w:p w14:paraId="3AB987C0">
            <w:pPr>
              <w:jc w:val="right"/>
            </w:pPr>
            <w:r>
              <w:t>17,053,907</w:t>
            </w:r>
          </w:p>
        </w:tc>
        <w:sdt>
          <w:sdtPr>
            <w:rPr>
              <w:bCs/>
            </w:rPr>
            <w:alias w:val="前十名无限售条件股东期末持有流通股的种类"/>
            <w:tag w:val="_GBC_b2820e36aa864983a3a85109cc59929a"/>
            <w:id w:val="23352414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930" w:type="pct"/>
                <w:gridSpan w:val="3"/>
                <w:vAlign w:val="center"/>
              </w:tcPr>
              <w:p w14:paraId="5819043A">
                <w:pPr>
                  <w:jc w:val="center"/>
                  <w:rPr>
                    <w:bCs/>
                  </w:rPr>
                </w:pPr>
                <w:r>
                  <w:rPr>
                    <w:bCs/>
                  </w:rPr>
                  <w:t>人民币普通股</w:t>
                </w:r>
              </w:p>
            </w:tc>
          </w:sdtContent>
        </w:sdt>
        <w:tc>
          <w:tcPr>
            <w:tcW w:w="1181" w:type="pct"/>
            <w:gridSpan w:val="2"/>
            <w:vAlign w:val="center"/>
          </w:tcPr>
          <w:p w14:paraId="6CF48758">
            <w:pPr>
              <w:jc w:val="right"/>
            </w:pPr>
            <w:r>
              <w:t>17,053,907</w:t>
            </w:r>
          </w:p>
        </w:tc>
      </w:tr>
      <w:tr w14:paraId="52D3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24EE17F4">
            <w:r>
              <w:t>上海银行股份有限公司－银华中证创新药产业交易型开放式指数证券投资基金</w:t>
            </w:r>
          </w:p>
        </w:tc>
        <w:tc>
          <w:tcPr>
            <w:tcW w:w="1341" w:type="pct"/>
            <w:gridSpan w:val="2"/>
            <w:vAlign w:val="center"/>
          </w:tcPr>
          <w:p w14:paraId="584992A4">
            <w:pPr>
              <w:jc w:val="right"/>
            </w:pPr>
            <w:r>
              <w:t>11,558,211</w:t>
            </w:r>
          </w:p>
        </w:tc>
        <w:sdt>
          <w:sdtPr>
            <w:rPr>
              <w:bCs/>
            </w:rPr>
            <w:alias w:val="前十名无限售条件股东期末持有流通股的种类"/>
            <w:tag w:val="_GBC_b2820e36aa864983a3a85109cc59929a"/>
            <w:id w:val="164693980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930" w:type="pct"/>
                <w:gridSpan w:val="3"/>
                <w:vAlign w:val="center"/>
              </w:tcPr>
              <w:p w14:paraId="491C606D">
                <w:pPr>
                  <w:jc w:val="center"/>
                  <w:rPr>
                    <w:bCs/>
                  </w:rPr>
                </w:pPr>
                <w:r>
                  <w:rPr>
                    <w:bCs/>
                  </w:rPr>
                  <w:t>人民币普通股</w:t>
                </w:r>
              </w:p>
            </w:tc>
          </w:sdtContent>
        </w:sdt>
        <w:tc>
          <w:tcPr>
            <w:tcW w:w="1181" w:type="pct"/>
            <w:gridSpan w:val="2"/>
            <w:vAlign w:val="center"/>
          </w:tcPr>
          <w:p w14:paraId="3A7301C3">
            <w:pPr>
              <w:jc w:val="right"/>
            </w:pPr>
            <w:r>
              <w:t>11,558,211</w:t>
            </w:r>
          </w:p>
        </w:tc>
      </w:tr>
      <w:tr w14:paraId="21F9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53E65F70">
            <w:r>
              <w:t>李一奎</w:t>
            </w:r>
          </w:p>
        </w:tc>
        <w:tc>
          <w:tcPr>
            <w:tcW w:w="1341" w:type="pct"/>
            <w:gridSpan w:val="2"/>
            <w:vAlign w:val="center"/>
          </w:tcPr>
          <w:p w14:paraId="61F052B3">
            <w:pPr>
              <w:jc w:val="right"/>
            </w:pPr>
            <w:r>
              <w:t>11,328,579</w:t>
            </w:r>
          </w:p>
        </w:tc>
        <w:sdt>
          <w:sdtPr>
            <w:rPr>
              <w:bCs/>
            </w:rPr>
            <w:alias w:val="前十名无限售条件股东期末持有流通股的种类"/>
            <w:tag w:val="_GBC_b2820e36aa864983a3a85109cc59929a"/>
            <w:id w:val="-92364329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930" w:type="pct"/>
                <w:gridSpan w:val="3"/>
                <w:vAlign w:val="center"/>
              </w:tcPr>
              <w:p w14:paraId="7F472A94">
                <w:pPr>
                  <w:jc w:val="center"/>
                  <w:rPr>
                    <w:bCs/>
                  </w:rPr>
                </w:pPr>
                <w:r>
                  <w:rPr>
                    <w:bCs/>
                  </w:rPr>
                  <w:t>人民币普通股</w:t>
                </w:r>
              </w:p>
            </w:tc>
          </w:sdtContent>
        </w:sdt>
        <w:tc>
          <w:tcPr>
            <w:tcW w:w="1181" w:type="pct"/>
            <w:gridSpan w:val="2"/>
            <w:vAlign w:val="center"/>
          </w:tcPr>
          <w:p w14:paraId="506BEFA3">
            <w:pPr>
              <w:jc w:val="right"/>
            </w:pPr>
            <w:r>
              <w:t>11,328,579</w:t>
            </w:r>
          </w:p>
        </w:tc>
      </w:tr>
      <w:tr w14:paraId="4D92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7A60701A">
            <w:r>
              <w:t>通化东宝药业股份有限公司－2025年员工持股计划</w:t>
            </w:r>
          </w:p>
        </w:tc>
        <w:tc>
          <w:tcPr>
            <w:tcW w:w="1341" w:type="pct"/>
            <w:gridSpan w:val="2"/>
            <w:vAlign w:val="center"/>
          </w:tcPr>
          <w:p w14:paraId="19518FAB">
            <w:pPr>
              <w:jc w:val="right"/>
            </w:pPr>
            <w:r>
              <w:t>9,290,000</w:t>
            </w:r>
          </w:p>
        </w:tc>
        <w:sdt>
          <w:sdtPr>
            <w:rPr>
              <w:bCs/>
            </w:rPr>
            <w:alias w:val="前十名无限售条件股东期末持有流通股的种类"/>
            <w:tag w:val="_GBC_b2820e36aa864983a3a85109cc59929a"/>
            <w:id w:val="206321690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930" w:type="pct"/>
                <w:gridSpan w:val="3"/>
                <w:vAlign w:val="center"/>
              </w:tcPr>
              <w:p w14:paraId="4F888C05">
                <w:pPr>
                  <w:jc w:val="center"/>
                  <w:rPr>
                    <w:bCs/>
                  </w:rPr>
                </w:pPr>
                <w:r>
                  <w:rPr>
                    <w:bCs/>
                  </w:rPr>
                  <w:t>人民币普通股</w:t>
                </w:r>
              </w:p>
            </w:tc>
          </w:sdtContent>
        </w:sdt>
        <w:tc>
          <w:tcPr>
            <w:tcW w:w="1181" w:type="pct"/>
            <w:gridSpan w:val="2"/>
            <w:vAlign w:val="center"/>
          </w:tcPr>
          <w:p w14:paraId="083AA53D">
            <w:pPr>
              <w:jc w:val="right"/>
            </w:pPr>
            <w:r>
              <w:t>9,290,000</w:t>
            </w:r>
          </w:p>
        </w:tc>
      </w:tr>
      <w:tr w14:paraId="41C8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vAlign w:val="center"/>
          </w:tcPr>
          <w:p w14:paraId="5623E8F6">
            <w:r>
              <w:t>通化吉祥创赢投资管理中心</w:t>
            </w:r>
          </w:p>
        </w:tc>
        <w:tc>
          <w:tcPr>
            <w:tcW w:w="1341" w:type="pct"/>
            <w:gridSpan w:val="2"/>
            <w:vAlign w:val="center"/>
          </w:tcPr>
          <w:p w14:paraId="4AE24803">
            <w:pPr>
              <w:jc w:val="right"/>
            </w:pPr>
            <w:r>
              <w:t>7,318,163</w:t>
            </w:r>
          </w:p>
        </w:tc>
        <w:sdt>
          <w:sdtPr>
            <w:rPr>
              <w:bCs/>
            </w:rPr>
            <w:alias w:val="前十名无限售条件股东期末持有流通股的种类"/>
            <w:tag w:val="_GBC_b2820e36aa864983a3a85109cc59929a"/>
            <w:id w:val="50524916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930" w:type="pct"/>
                <w:gridSpan w:val="3"/>
                <w:vAlign w:val="center"/>
              </w:tcPr>
              <w:p w14:paraId="1F079977">
                <w:pPr>
                  <w:jc w:val="center"/>
                  <w:rPr>
                    <w:bCs/>
                  </w:rPr>
                </w:pPr>
                <w:r>
                  <w:rPr>
                    <w:bCs/>
                  </w:rPr>
                  <w:t>人民币普通股</w:t>
                </w:r>
              </w:p>
            </w:tc>
          </w:sdtContent>
        </w:sdt>
        <w:tc>
          <w:tcPr>
            <w:tcW w:w="1181" w:type="pct"/>
            <w:gridSpan w:val="2"/>
            <w:vAlign w:val="center"/>
          </w:tcPr>
          <w:p w14:paraId="36A08414">
            <w:pPr>
              <w:jc w:val="right"/>
            </w:pPr>
            <w:r>
              <w:t>7,318,163</w:t>
            </w:r>
          </w:p>
        </w:tc>
      </w:tr>
      <w:tr w14:paraId="28B7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548" w:type="pct"/>
            <w:vAlign w:val="center"/>
          </w:tcPr>
          <w:p w14:paraId="20F39361">
            <w:r>
              <w:t>上述股东关联关系或一致行动的说明</w:t>
            </w:r>
          </w:p>
        </w:tc>
        <w:tc>
          <w:tcPr>
            <w:tcW w:w="3452" w:type="pct"/>
            <w:gridSpan w:val="7"/>
            <w:vAlign w:val="center"/>
          </w:tcPr>
          <w:p w14:paraId="0C479AC6">
            <w:pPr>
              <w:jc w:val="both"/>
              <w:rPr>
                <w:color w:val="FFC000"/>
              </w:rPr>
            </w:pPr>
            <w:r>
              <w:rPr>
                <w:rFonts w:hint="eastAsia"/>
              </w:rPr>
              <w:t>公司控股股东东宝实业集团股份有限公司与公司实际控制人李一奎属于一致行动人，公司未知其他股东之间是否存在关联关系或是否属于一致行动人。</w:t>
            </w:r>
          </w:p>
        </w:tc>
      </w:tr>
      <w:tr w14:paraId="1ADA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pct"/>
          </w:tcPr>
          <w:p w14:paraId="51B537C8">
            <w:r>
              <w:rPr>
                <w:rFonts w:hint="eastAsia" w:cs="宋体"/>
              </w:rPr>
              <w:t>前10名股东及前</w:t>
            </w:r>
            <w:r>
              <w:rPr>
                <w:rFonts w:cs="宋体"/>
              </w:rPr>
              <w:t>10名无限售股东</w:t>
            </w:r>
            <w:r>
              <w:rPr>
                <w:rFonts w:hint="eastAsia" w:cs="宋体"/>
              </w:rPr>
              <w:t>参与融资融券及转融通业务情况说明（如有）</w:t>
            </w:r>
          </w:p>
        </w:tc>
        <w:tc>
          <w:tcPr>
            <w:tcW w:w="3452" w:type="pct"/>
            <w:gridSpan w:val="7"/>
            <w:vAlign w:val="center"/>
          </w:tcPr>
          <w:p w14:paraId="2FEE8CF1">
            <w:r>
              <w:rPr>
                <w:rFonts w:hint="eastAsia"/>
              </w:rPr>
              <w:t>无</w:t>
            </w:r>
          </w:p>
        </w:tc>
      </w:tr>
    </w:tbl>
    <w:p w14:paraId="73F7927E"/>
    <w:p w14:paraId="0FC9302E">
      <w:r>
        <w:rPr>
          <w:rFonts w:hint="eastAsia"/>
        </w:rPr>
        <w:t>持股</w:t>
      </w:r>
      <w:r>
        <w:t>5%以上股东、前10名股东及前10名无限售流通股股东参与转融通业务出借股份情况</w:t>
      </w:r>
    </w:p>
    <w:sdt>
      <w:sdtPr>
        <w:rPr>
          <w:bCs/>
        </w:rPr>
        <w:alias w:val="是否适用：前十名股东参与转融通业务出借股份情况[双击切换]"/>
        <w:tag w:val="_GBC_9e9003ebc3054fd0a471ed39dabc7328"/>
        <w:id w:val="-215432745"/>
        <w:placeholder>
          <w:docPart w:val="GBC22222222222222222222222222222"/>
        </w:placeholder>
      </w:sdtPr>
      <w:sdtEndPr>
        <w:rPr>
          <w:bCs/>
        </w:rPr>
      </w:sdtEndPr>
      <w:sdtContent>
        <w:p w14:paraId="69EC0D7B">
          <w:pPr>
            <w:rPr>
              <w:bCs/>
            </w:rPr>
          </w:pPr>
          <w:r>
            <w:rPr>
              <w:rFonts w:ascii="宋体" w:hAnsi="宋体"/>
              <w:bCs/>
            </w:rPr>
            <w:fldChar w:fldCharType="begin"/>
          </w:r>
          <w:r>
            <w:rPr>
              <w:rFonts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Pr>
              <w:rFonts w:ascii="宋体" w:hAnsi="宋体"/>
              <w:bCs/>
            </w:rPr>
            <w:instrText xml:space="preserve"> MACROBUTTON  SnrToggleCheckbox √不适用 </w:instrText>
          </w:r>
          <w:r>
            <w:rPr>
              <w:rFonts w:ascii="宋体" w:hAnsi="宋体"/>
              <w:bCs/>
            </w:rPr>
            <w:fldChar w:fldCharType="end"/>
          </w:r>
        </w:p>
      </w:sdtContent>
    </w:sdt>
    <w:p w14:paraId="6A8E978D"/>
    <w:bookmarkEnd w:id="12"/>
    <w:p w14:paraId="0ED0D4BD">
      <w:bookmarkStart w:id="17" w:name="_Hlk155094189"/>
      <w:r>
        <w:rPr>
          <w:rFonts w:hint="eastAsia"/>
        </w:rPr>
        <w:t>前</w:t>
      </w:r>
      <w:r>
        <w:t>10名股东及前10名无限售流通股股东因转融通出借/归还原因导致较上期发生变化</w:t>
      </w:r>
    </w:p>
    <w:sdt>
      <w:sdtPr>
        <w:rPr>
          <w:rFonts w:hint="eastAsia"/>
        </w:rPr>
        <w:alias w:val="是否适用：前十名股东较上期发生变化[双击切换]"/>
        <w:tag w:val="_GBC_3c46230ab3db449c9b01b2ef827436ba"/>
        <w:id w:val="1885127426"/>
        <w:placeholder>
          <w:docPart w:val="GBC22222222222222222222222222222"/>
        </w:placeholder>
      </w:sdtPr>
      <w:sdtEndPr>
        <w:rPr>
          <w:rFonts w:hint="eastAsia"/>
        </w:rPr>
      </w:sdtEndPr>
      <w:sdtContent>
        <w:p w14:paraId="322A08EB">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End w:id="13"/>
    <w:bookmarkEnd w:id="14"/>
    <w:bookmarkEnd w:id="15"/>
    <w:bookmarkEnd w:id="16"/>
    <w:bookmarkEnd w:id="17"/>
    <w:p w14:paraId="172963CF">
      <w:bookmarkStart w:id="18" w:name="_Hlk83647063"/>
      <w:bookmarkStart w:id="19" w:name="_Hlk83647311"/>
      <w:bookmarkStart w:id="20" w:name="_Hlk83223066"/>
      <w:bookmarkStart w:id="21" w:name="_Toc395718057"/>
    </w:p>
    <w:p w14:paraId="7CC07890"/>
    <w:bookmarkEnd w:id="18"/>
    <w:bookmarkEnd w:id="19"/>
    <w:bookmarkEnd w:id="20"/>
    <w:p w14:paraId="54BCFD45">
      <w:pPr>
        <w:pStyle w:val="2"/>
        <w:numPr>
          <w:ilvl w:val="0"/>
          <w:numId w:val="2"/>
        </w:numPr>
        <w:tabs>
          <w:tab w:val="left" w:pos="434"/>
          <w:tab w:val="left" w:pos="882"/>
        </w:tabs>
        <w:spacing w:line="360" w:lineRule="auto"/>
        <w:rPr>
          <w:sz w:val="21"/>
        </w:rPr>
      </w:pPr>
      <w:bookmarkStart w:id="22" w:name="_Toc493164699"/>
      <w:r>
        <w:rPr>
          <w:rFonts w:hint="eastAsia"/>
          <w:sz w:val="21"/>
        </w:rPr>
        <w:t>其他提醒</w:t>
      </w:r>
      <w:r>
        <w:rPr>
          <w:sz w:val="21"/>
        </w:rPr>
        <w:t>事项</w:t>
      </w:r>
      <w:bookmarkEnd w:id="21"/>
      <w:bookmarkEnd w:id="22"/>
    </w:p>
    <w:p w14:paraId="4CE1A0FD">
      <w:r>
        <w:rPr>
          <w:rFonts w:hint="eastAsia"/>
        </w:rPr>
        <w:t>需提醒投资者关注的关于公司报告期经营情况的其他重要信息</w:t>
      </w:r>
    </w:p>
    <w:sdt>
      <w:sdtPr>
        <w:alias w:val="是否适用：其他提醒事项[双击切换]"/>
        <w:tag w:val="_GBC_62e97a45e1c349c4ba5113f5e9d4eb80"/>
        <w:id w:val="-1412311224"/>
        <w:placeholder>
          <w:docPart w:val="GBC22222222222222222222222222222"/>
        </w:placeholder>
      </w:sdtPr>
      <w:sdtContent>
        <w:p w14:paraId="7DD4465D">
          <w:bookmarkStart w:id="23" w:name="OLE_LINK12"/>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color w:val="000000"/>
          <w:kern w:val="0"/>
          <w:szCs w:val="21"/>
        </w:rPr>
        <w:alias w:val="其他提醒事项"/>
        <w:tag w:val="_GBC_9818a3b1ccb74e63a9d9df06fce7e2ce"/>
        <w:id w:val="1188481727"/>
        <w:placeholder>
          <w:docPart w:val="GBC22222222222222222222222222222"/>
        </w:placeholder>
      </w:sdtPr>
      <w:sdtEndPr>
        <w:rPr>
          <w:b/>
          <w:color w:val="000000"/>
          <w:kern w:val="0"/>
          <w:szCs w:val="21"/>
          <w:highlight w:val="yellow"/>
        </w:rPr>
      </w:sdtEndPr>
      <w:sdtContent>
        <w:p w14:paraId="1408EF1D">
          <w:pPr>
            <w:pStyle w:val="83"/>
            <w:numPr>
              <w:ilvl w:val="0"/>
              <w:numId w:val="5"/>
            </w:numPr>
            <w:rPr>
              <w:b/>
              <w:color w:val="000000"/>
              <w:kern w:val="0"/>
              <w:szCs w:val="21"/>
            </w:rPr>
          </w:pPr>
          <w:r>
            <w:rPr>
              <w:rFonts w:hint="eastAsia"/>
              <w:b/>
              <w:color w:val="000000"/>
              <w:kern w:val="0"/>
              <w:szCs w:val="21"/>
            </w:rPr>
            <w:t>关于协议转让厦门特宝生物工程股份有限公司的情况</w:t>
          </w:r>
        </w:p>
        <w:p w14:paraId="1F350E86">
          <w:pPr>
            <w:pStyle w:val="83"/>
            <w:spacing w:line="360" w:lineRule="auto"/>
            <w:ind w:firstLine="420" w:firstLineChars="200"/>
            <w:rPr>
              <w:rFonts w:ascii="宋体" w:hAnsi="宋体"/>
              <w:color w:val="000000"/>
              <w:kern w:val="0"/>
              <w:szCs w:val="21"/>
            </w:rPr>
          </w:pPr>
          <w:r>
            <w:rPr>
              <w:rFonts w:hint="eastAsia" w:ascii="宋体" w:hAnsi="宋体"/>
              <w:color w:val="000000"/>
              <w:kern w:val="0"/>
              <w:szCs w:val="21"/>
            </w:rPr>
            <w:t>公司于2025年5月22日与西藏信托有限公司（代表“西藏信托-金桐35号集合资金信托计划”）签署了《股份转让协议》，以协议转让方式转让厦门特宝生物工程股份有限公司（证券代码：688278）无限售条件流通股股份23,187,600股，占厦门特宝生物工程股份有限公司总股本的5.70%，转让价格56.12元/股,转让价款总额为人民币1,301,288,112元。</w:t>
          </w:r>
        </w:p>
        <w:p w14:paraId="350BA70C">
          <w:pPr>
            <w:pStyle w:val="83"/>
            <w:spacing w:line="360" w:lineRule="auto"/>
            <w:ind w:firstLine="420" w:firstLineChars="200"/>
            <w:rPr>
              <w:rFonts w:ascii="宋体" w:hAnsi="宋体"/>
              <w:color w:val="000000"/>
              <w:kern w:val="0"/>
              <w:szCs w:val="21"/>
            </w:rPr>
          </w:pPr>
          <w:r>
            <w:rPr>
              <w:rFonts w:hint="eastAsia" w:ascii="宋体" w:hAnsi="宋体"/>
              <w:color w:val="000000"/>
              <w:kern w:val="0"/>
              <w:szCs w:val="21"/>
            </w:rPr>
            <w:t>公司已于2025年7月3日取得中国证券登记结算有限责任公司出具的《证券过户登记确认书》，过户日期为2025年7月2日，过户数量23,187,600股，股份性质为无限售流通股，股份协议转让过户登记手续已办理完毕。</w:t>
          </w:r>
        </w:p>
        <w:p w14:paraId="101B9292">
          <w:pPr>
            <w:pStyle w:val="83"/>
            <w:spacing w:line="360" w:lineRule="auto"/>
            <w:ind w:firstLine="420" w:firstLineChars="200"/>
            <w:rPr>
              <w:rFonts w:ascii="宋体" w:hAnsi="宋体"/>
              <w:color w:val="000000"/>
              <w:kern w:val="0"/>
              <w:szCs w:val="21"/>
            </w:rPr>
          </w:pPr>
          <w:r>
            <w:rPr>
              <w:rFonts w:hint="eastAsia" w:ascii="宋体" w:hAnsi="宋体"/>
              <w:color w:val="000000"/>
            </w:rPr>
            <w:t>具体内容详见公司于202</w:t>
          </w:r>
          <w:r>
            <w:rPr>
              <w:rFonts w:ascii="宋体" w:hAnsi="宋体"/>
              <w:color w:val="000000"/>
            </w:rPr>
            <w:t>5</w:t>
          </w:r>
          <w:r>
            <w:rPr>
              <w:rFonts w:hint="eastAsia" w:ascii="宋体" w:hAnsi="宋体"/>
              <w:color w:val="000000"/>
            </w:rPr>
            <w:t>年</w:t>
          </w:r>
          <w:r>
            <w:rPr>
              <w:rFonts w:ascii="宋体" w:hAnsi="宋体"/>
              <w:color w:val="000000"/>
            </w:rPr>
            <w:t>7</w:t>
          </w:r>
          <w:r>
            <w:rPr>
              <w:rFonts w:hint="eastAsia" w:ascii="宋体" w:hAnsi="宋体"/>
              <w:color w:val="000000"/>
            </w:rPr>
            <w:t>月</w:t>
          </w:r>
          <w:r>
            <w:rPr>
              <w:rFonts w:ascii="宋体" w:hAnsi="宋体"/>
              <w:color w:val="000000"/>
            </w:rPr>
            <w:t>4</w:t>
          </w:r>
          <w:r>
            <w:rPr>
              <w:rFonts w:hint="eastAsia" w:ascii="宋体" w:hAnsi="宋体"/>
              <w:color w:val="000000"/>
            </w:rPr>
            <w:t>日在</w:t>
          </w:r>
          <w:r>
            <w:rPr>
              <w:rFonts w:hint="eastAsia" w:ascii="宋体" w:hAnsi="宋体"/>
              <w:color w:val="000000"/>
              <w:lang w:val="en-US" w:eastAsia="zh-CN"/>
            </w:rPr>
            <w:t>中国证券报、上海证券报及</w:t>
          </w:r>
          <w:r>
            <w:rPr>
              <w:rFonts w:hint="eastAsia" w:ascii="宋体" w:hAnsi="宋体"/>
              <w:color w:val="000000"/>
            </w:rPr>
            <w:t>上海证券交易所网站（www.sse.com.cn）披露的《通化东宝关于协议转让特宝生物部分股份完成过户登记的公告》。</w:t>
          </w:r>
        </w:p>
        <w:p w14:paraId="62FA69E4">
          <w:pPr>
            <w:pStyle w:val="83"/>
            <w:numPr>
              <w:ilvl w:val="0"/>
              <w:numId w:val="5"/>
            </w:numPr>
            <w:rPr>
              <w:b/>
              <w:color w:val="000000"/>
              <w:kern w:val="0"/>
              <w:szCs w:val="21"/>
            </w:rPr>
          </w:pPr>
          <w:r>
            <w:rPr>
              <w:rFonts w:hint="eastAsia"/>
              <w:b/>
              <w:color w:val="000000"/>
              <w:kern w:val="0"/>
              <w:szCs w:val="21"/>
            </w:rPr>
            <w:t>关于控股股东增持公司股份的进展情况</w:t>
          </w:r>
        </w:p>
        <w:p w14:paraId="26874E33">
          <w:pPr>
            <w:pStyle w:val="83"/>
            <w:spacing w:line="360" w:lineRule="auto"/>
            <w:ind w:firstLine="420" w:firstLineChars="200"/>
            <w:rPr>
              <w:rFonts w:ascii="宋体" w:hAnsi="宋体"/>
              <w:color w:val="000000"/>
            </w:rPr>
          </w:pPr>
          <w:r>
            <w:rPr>
              <w:rFonts w:hint="eastAsia" w:ascii="宋体" w:hAnsi="宋体"/>
              <w:color w:val="000000"/>
            </w:rPr>
            <w:t>基于对</w:t>
          </w:r>
          <w:r>
            <w:rPr>
              <w:rFonts w:hint="eastAsia" w:ascii="宋体" w:hAnsi="宋体"/>
            </w:rPr>
            <w:t>未来发展前景的信心和对公司价值的高度认可，控股股东</w:t>
          </w:r>
          <w:r>
            <w:rPr>
              <w:rFonts w:hint="eastAsia"/>
            </w:rPr>
            <w:t>东宝实业集团股份有限公司</w:t>
          </w:r>
          <w:r>
            <w:rPr>
              <w:rFonts w:hint="eastAsia" w:ascii="宋体" w:hAnsi="宋体"/>
            </w:rPr>
            <w:t>计划通过上海证券交易所以集中竞价交易方式增持公司股份。增持比例不低于公司总股本1%，即19,817,341股，不超过公司总股本2%，即39,634,681股。实施期限为自2024年10月31日起12个月内（即2024年10月31日至2025年10月30日）。</w:t>
          </w:r>
          <w:r>
            <w:rPr>
              <w:rFonts w:ascii="宋体" w:hAnsi="宋体"/>
              <w:color w:val="000000"/>
              <w:kern w:val="0"/>
              <w:szCs w:val="21"/>
            </w:rPr>
            <w:t>内容详见</w:t>
          </w:r>
          <w:r>
            <w:rPr>
              <w:rFonts w:hint="eastAsia" w:asciiTheme="minorEastAsia" w:hAnsiTheme="minorEastAsia" w:eastAsiaTheme="minorEastAsia"/>
              <w:color w:val="000000"/>
              <w:kern w:val="0"/>
              <w:szCs w:val="21"/>
            </w:rPr>
            <w:t>公司于2</w:t>
          </w:r>
          <w:r>
            <w:rPr>
              <w:rFonts w:asciiTheme="minorEastAsia" w:hAnsiTheme="minorEastAsia" w:eastAsiaTheme="minorEastAsia"/>
              <w:color w:val="000000"/>
              <w:kern w:val="0"/>
              <w:szCs w:val="21"/>
            </w:rPr>
            <w:t>02</w:t>
          </w:r>
          <w:r>
            <w:rPr>
              <w:rFonts w:hint="eastAsia" w:asciiTheme="minorEastAsia" w:hAnsiTheme="minorEastAsia" w:eastAsiaTheme="minorEastAsia"/>
              <w:color w:val="000000"/>
              <w:kern w:val="0"/>
              <w:szCs w:val="21"/>
            </w:rPr>
            <w:t>4年1</w:t>
          </w:r>
          <w:r>
            <w:rPr>
              <w:rFonts w:asciiTheme="minorEastAsia" w:hAnsiTheme="minorEastAsia" w:eastAsiaTheme="minorEastAsia"/>
              <w:color w:val="000000"/>
              <w:kern w:val="0"/>
              <w:szCs w:val="21"/>
            </w:rPr>
            <w:t>0</w:t>
          </w:r>
          <w:r>
            <w:rPr>
              <w:rFonts w:hint="eastAsia" w:asciiTheme="minorEastAsia" w:hAnsiTheme="minorEastAsia" w:eastAsiaTheme="minorEastAsia"/>
              <w:color w:val="000000"/>
              <w:kern w:val="0"/>
              <w:szCs w:val="21"/>
            </w:rPr>
            <w:t>月31日在</w:t>
          </w:r>
          <w:r>
            <w:rPr>
              <w:rFonts w:hint="eastAsia" w:ascii="宋体" w:hAnsi="宋体"/>
              <w:color w:val="000000"/>
              <w:lang w:val="en-US" w:eastAsia="zh-CN"/>
            </w:rPr>
            <w:t>中国证券报、上海证券报及</w:t>
          </w:r>
          <w:r>
            <w:rPr>
              <w:rFonts w:hint="eastAsia" w:asciiTheme="minorEastAsia" w:hAnsiTheme="minorEastAsia" w:eastAsiaTheme="minorEastAsia"/>
              <w:color w:val="000000"/>
              <w:kern w:val="0"/>
              <w:szCs w:val="21"/>
            </w:rPr>
            <w:t>上海证券交易所网站（http：//www.sse.com.cn）披露的《通化东宝关于控股股东增持公司股份计划的公告》。</w:t>
          </w:r>
        </w:p>
        <w:p w14:paraId="11E7A97D">
          <w:pPr>
            <w:pStyle w:val="62"/>
            <w:spacing w:line="360" w:lineRule="auto"/>
            <w:rPr>
              <w:rFonts w:ascii="宋体" w:hAnsi="宋体"/>
              <w:color w:val="000000"/>
            </w:rPr>
          </w:pPr>
          <w:r>
            <w:rPr>
              <w:rFonts w:hint="eastAsia" w:ascii="宋体" w:hAnsi="宋体"/>
              <w:color w:val="000000"/>
            </w:rPr>
            <w:t>截至2025年10月27日，已增持股份22,124,109股，占公司当前总股本的1.13%，增持计划尚未实施完毕。</w:t>
          </w:r>
        </w:p>
        <w:p w14:paraId="5568ECE0">
          <w:pPr>
            <w:pStyle w:val="83"/>
            <w:rPr>
              <w:color w:val="000000"/>
              <w:kern w:val="0"/>
              <w:szCs w:val="21"/>
            </w:rPr>
          </w:pPr>
        </w:p>
        <w:p w14:paraId="65D52E68">
          <w:pPr>
            <w:pStyle w:val="83"/>
            <w:numPr>
              <w:ilvl w:val="0"/>
              <w:numId w:val="5"/>
            </w:numPr>
            <w:rPr>
              <w:b/>
              <w:color w:val="000000"/>
              <w:kern w:val="0"/>
              <w:szCs w:val="21"/>
            </w:rPr>
          </w:pPr>
          <w:r>
            <w:rPr>
              <w:rFonts w:hint="eastAsia"/>
              <w:b/>
              <w:color w:val="000000"/>
              <w:kern w:val="0"/>
              <w:szCs w:val="21"/>
            </w:rPr>
            <w:t>关于2</w:t>
          </w:r>
          <w:r>
            <w:rPr>
              <w:b/>
              <w:color w:val="000000"/>
              <w:kern w:val="0"/>
              <w:szCs w:val="21"/>
            </w:rPr>
            <w:t>025</w:t>
          </w:r>
          <w:r>
            <w:rPr>
              <w:rFonts w:hint="eastAsia"/>
              <w:b/>
              <w:color w:val="000000"/>
              <w:kern w:val="0"/>
              <w:szCs w:val="21"/>
            </w:rPr>
            <w:t>年员工持股计划情况</w:t>
          </w:r>
        </w:p>
        <w:p w14:paraId="11956AB4">
          <w:pPr>
            <w:pStyle w:val="62"/>
            <w:spacing w:line="360" w:lineRule="auto"/>
            <w:jc w:val="both"/>
          </w:pPr>
          <w:r>
            <w:rPr>
              <w:rFonts w:hint="eastAsia"/>
            </w:rPr>
            <w:t>2025</w:t>
          </w:r>
          <w:r>
            <w:rPr>
              <w:rFonts w:hint="eastAsia" w:ascii="宋体" w:hAnsi="宋体"/>
            </w:rPr>
            <w:t>年</w:t>
          </w:r>
          <w:r>
            <w:rPr>
              <w:rFonts w:hint="eastAsia"/>
            </w:rPr>
            <w:t>9</w:t>
          </w:r>
          <w:r>
            <w:rPr>
              <w:rFonts w:hint="eastAsia" w:ascii="宋体" w:hAnsi="宋体"/>
            </w:rPr>
            <w:t>月</w:t>
          </w:r>
          <w:r>
            <w:rPr>
              <w:rFonts w:hint="eastAsia"/>
            </w:rPr>
            <w:t>2</w:t>
          </w:r>
          <w:r>
            <w:rPr>
              <w:rFonts w:hint="eastAsia" w:ascii="宋体" w:hAnsi="宋体"/>
            </w:rPr>
            <w:t>日，</w:t>
          </w:r>
          <w:r>
            <w:rPr>
              <w:rFonts w:hint="eastAsia"/>
            </w:rPr>
            <w:t>公司召开第十一届董事会第十七次会议、第十一届监事会第十一次会议，于2025年9月18日召开2025年第二次临时股东会，审议通过了《关于&lt;通化东宝2025年员工持股计划（草案）&gt;及其摘要的议案》等相关议案，同意公司实施2025年员工持股计划。2025年10月9日，公司收到中国证券登记结算有限责任公司出具的《证券过户登记确认书》，确认公司回购专用证券账户所持有的929.00万股公司标的股票已于2025年9月30日非交易过户至“通化东宝药业股份有限公司-2025年员工持股计划”（证券账户号码：B887676110），过户价格为4.29元/股。</w:t>
          </w:r>
        </w:p>
        <w:p w14:paraId="48212A08">
          <w:pPr>
            <w:pStyle w:val="62"/>
            <w:spacing w:line="360" w:lineRule="auto"/>
            <w:jc w:val="both"/>
          </w:pPr>
          <w:r>
            <w:rPr>
              <w:rFonts w:hint="eastAsia"/>
            </w:rPr>
            <w:t>内容详见公司分别于202</w:t>
          </w:r>
          <w:r>
            <w:t>5</w:t>
          </w:r>
          <w:r>
            <w:rPr>
              <w:rFonts w:hint="eastAsia"/>
            </w:rPr>
            <w:t>年</w:t>
          </w:r>
          <w:r>
            <w:t>9</w:t>
          </w:r>
          <w:r>
            <w:rPr>
              <w:rFonts w:hint="eastAsia"/>
            </w:rPr>
            <w:t>月3日、2025年10月10日在上海证券交易所网站（www.sse.com.cn）披露的《通化东宝2025年员工持股计划（草案）》</w:t>
          </w:r>
          <w:r>
            <w:rPr>
              <w:rFonts w:hint="eastAsia"/>
              <w:lang w:val="en-US" w:eastAsia="zh-CN"/>
            </w:rPr>
            <w:t>和</w:t>
          </w:r>
          <w:bookmarkStart w:id="32" w:name="_GoBack"/>
          <w:bookmarkEnd w:id="32"/>
          <w:r>
            <w:rPr>
              <w:rFonts w:hint="eastAsia" w:ascii="宋体" w:hAnsi="宋体"/>
              <w:color w:val="000000"/>
              <w:lang w:val="en-US" w:eastAsia="zh-CN"/>
            </w:rPr>
            <w:t>中国证券报、上海证券报及</w:t>
          </w:r>
          <w:r>
            <w:rPr>
              <w:rFonts w:hint="eastAsia"/>
            </w:rPr>
            <w:t>上海证券交易所网站（www.sse.com.cn）披露的《通化东宝关于2025年员工持股计划完成股票非交易过户的公告》。</w:t>
          </w:r>
        </w:p>
        <w:p w14:paraId="6A830749">
          <w:pPr>
            <w:pStyle w:val="62"/>
            <w:spacing w:line="360" w:lineRule="auto"/>
            <w:jc w:val="both"/>
          </w:pPr>
        </w:p>
        <w:p w14:paraId="1A7F1BA7">
          <w:pPr>
            <w:pStyle w:val="83"/>
            <w:numPr>
              <w:ilvl w:val="0"/>
              <w:numId w:val="5"/>
            </w:numPr>
            <w:rPr>
              <w:b/>
              <w:color w:val="000000"/>
              <w:kern w:val="0"/>
              <w:szCs w:val="21"/>
            </w:rPr>
          </w:pPr>
          <w:r>
            <w:rPr>
              <w:rFonts w:hint="eastAsia"/>
              <w:b/>
              <w:color w:val="000000"/>
              <w:kern w:val="0"/>
              <w:szCs w:val="21"/>
            </w:rPr>
            <w:t>关于以集中竞价交易方式回购公司股份的情况</w:t>
          </w:r>
        </w:p>
        <w:p w14:paraId="4F924C3E">
          <w:pPr>
            <w:pStyle w:val="83"/>
            <w:spacing w:line="360" w:lineRule="auto"/>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2</w:t>
          </w:r>
          <w:r>
            <w:rPr>
              <w:rFonts w:asciiTheme="minorEastAsia" w:hAnsiTheme="minorEastAsia" w:eastAsiaTheme="minorEastAsia"/>
              <w:color w:val="000000"/>
              <w:kern w:val="0"/>
              <w:szCs w:val="21"/>
            </w:rPr>
            <w:t>025</w:t>
          </w:r>
          <w:r>
            <w:rPr>
              <w:rFonts w:hint="eastAsia" w:asciiTheme="minorEastAsia" w:hAnsiTheme="minorEastAsia" w:eastAsiaTheme="minorEastAsia"/>
              <w:color w:val="000000"/>
              <w:kern w:val="0"/>
              <w:szCs w:val="21"/>
            </w:rPr>
            <w:t>年1</w:t>
          </w:r>
          <w:r>
            <w:rPr>
              <w:rFonts w:asciiTheme="minorEastAsia" w:hAnsiTheme="minorEastAsia" w:eastAsiaTheme="minorEastAsia"/>
              <w:color w:val="000000"/>
              <w:kern w:val="0"/>
              <w:szCs w:val="21"/>
            </w:rPr>
            <w:t>0</w:t>
          </w:r>
          <w:r>
            <w:rPr>
              <w:rFonts w:hint="eastAsia" w:asciiTheme="minorEastAsia" w:hAnsiTheme="minorEastAsia" w:eastAsiaTheme="minorEastAsia"/>
              <w:color w:val="000000"/>
              <w:kern w:val="0"/>
              <w:szCs w:val="21"/>
            </w:rPr>
            <w:t>月1</w:t>
          </w:r>
          <w:r>
            <w:rPr>
              <w:rFonts w:asciiTheme="minorEastAsia" w:hAnsiTheme="minorEastAsia" w:eastAsiaTheme="minorEastAsia"/>
              <w:color w:val="000000"/>
              <w:kern w:val="0"/>
              <w:szCs w:val="21"/>
            </w:rPr>
            <w:t>7</w:t>
          </w:r>
          <w:r>
            <w:rPr>
              <w:rFonts w:hint="eastAsia" w:asciiTheme="minorEastAsia" w:hAnsiTheme="minorEastAsia" w:eastAsiaTheme="minorEastAsia"/>
              <w:color w:val="000000"/>
              <w:kern w:val="0"/>
              <w:szCs w:val="21"/>
            </w:rPr>
            <w:t>日，公司召开第十一届董事会第十八次会议，审议通过了《关于以集中竞价交易方式回购公司股份方案的议案》等相关议案。基于对公司未来发展前景的信心和对公司价值的高度认可，公司计划以自有资金通过上海证券交易所交易系统以集中竞价交易的方式回购公司股份用于员工持股计划及/或股权激励，本次回购实施期限为自董事会审议通过本次回购股份方案之日起6个月内，资金总额不低于人民币2,000万元（含），不超过人民币4,000万元（含），预计回购股份数量不低于200万股，占公司当前总股本的0.10%，不超过400万股，占公司总股本的0.20%，具体回购股份的数量以回购期满时实际回购的股份数量为准，回购股份价格不超过人民币10元/股（含）。</w:t>
          </w:r>
          <w:r>
            <w:rPr>
              <w:rFonts w:ascii="宋体" w:hAnsi="宋体"/>
              <w:color w:val="000000"/>
              <w:kern w:val="0"/>
              <w:szCs w:val="21"/>
            </w:rPr>
            <w:t>内容详见</w:t>
          </w:r>
          <w:r>
            <w:rPr>
              <w:rFonts w:hint="eastAsia" w:asciiTheme="minorEastAsia" w:hAnsiTheme="minorEastAsia" w:eastAsiaTheme="minorEastAsia"/>
              <w:color w:val="000000"/>
              <w:kern w:val="0"/>
              <w:szCs w:val="21"/>
            </w:rPr>
            <w:t>公司于2</w:t>
          </w:r>
          <w:r>
            <w:rPr>
              <w:rFonts w:asciiTheme="minorEastAsia" w:hAnsiTheme="minorEastAsia" w:eastAsiaTheme="minorEastAsia"/>
              <w:color w:val="000000"/>
              <w:kern w:val="0"/>
              <w:szCs w:val="21"/>
            </w:rPr>
            <w:t>025</w:t>
          </w:r>
          <w:r>
            <w:rPr>
              <w:rFonts w:hint="eastAsia" w:asciiTheme="minorEastAsia" w:hAnsiTheme="minorEastAsia" w:eastAsiaTheme="minorEastAsia"/>
              <w:color w:val="000000"/>
              <w:kern w:val="0"/>
              <w:szCs w:val="21"/>
            </w:rPr>
            <w:t>年1</w:t>
          </w:r>
          <w:r>
            <w:rPr>
              <w:rFonts w:asciiTheme="minorEastAsia" w:hAnsiTheme="minorEastAsia" w:eastAsiaTheme="minorEastAsia"/>
              <w:color w:val="000000"/>
              <w:kern w:val="0"/>
              <w:szCs w:val="21"/>
            </w:rPr>
            <w:t>0</w:t>
          </w:r>
          <w:r>
            <w:rPr>
              <w:rFonts w:hint="eastAsia" w:asciiTheme="minorEastAsia" w:hAnsiTheme="minorEastAsia" w:eastAsiaTheme="minorEastAsia"/>
              <w:color w:val="000000"/>
              <w:kern w:val="0"/>
              <w:szCs w:val="21"/>
            </w:rPr>
            <w:t>月1</w:t>
          </w:r>
          <w:r>
            <w:rPr>
              <w:rFonts w:asciiTheme="minorEastAsia" w:hAnsiTheme="minorEastAsia" w:eastAsiaTheme="minorEastAsia"/>
              <w:color w:val="000000"/>
              <w:kern w:val="0"/>
              <w:szCs w:val="21"/>
            </w:rPr>
            <w:t>8</w:t>
          </w:r>
          <w:r>
            <w:rPr>
              <w:rFonts w:hint="eastAsia" w:asciiTheme="minorEastAsia" w:hAnsiTheme="minorEastAsia" w:eastAsiaTheme="minorEastAsia"/>
              <w:color w:val="000000"/>
              <w:kern w:val="0"/>
              <w:szCs w:val="21"/>
            </w:rPr>
            <w:t>日在</w:t>
          </w:r>
          <w:r>
            <w:rPr>
              <w:rFonts w:hint="eastAsia" w:ascii="宋体" w:hAnsi="宋体"/>
              <w:color w:val="000000"/>
              <w:lang w:val="en-US" w:eastAsia="zh-CN"/>
            </w:rPr>
            <w:t>中国证券报、上海证券报及</w:t>
          </w:r>
          <w:r>
            <w:rPr>
              <w:rFonts w:hint="eastAsia" w:asciiTheme="minorEastAsia" w:hAnsiTheme="minorEastAsia" w:eastAsiaTheme="minorEastAsia"/>
              <w:color w:val="000000"/>
              <w:kern w:val="0"/>
              <w:szCs w:val="21"/>
            </w:rPr>
            <w:t>上海证券交易所网站（http：//www.sse.com.cn）披露的《通化东宝关于以集中竞价交易方式回购公司股份方案的公告》《通化东宝关于以集中竞价交易方式回购公司股份的回购报告书》。</w:t>
          </w:r>
        </w:p>
      </w:sdtContent>
    </w:sdt>
    <w:bookmarkEnd w:id="23"/>
    <w:p w14:paraId="7FB31F06">
      <w:pPr>
        <w:pStyle w:val="2"/>
        <w:numPr>
          <w:ilvl w:val="0"/>
          <w:numId w:val="2"/>
        </w:numPr>
        <w:tabs>
          <w:tab w:val="left" w:pos="434"/>
          <w:tab w:val="left" w:pos="882"/>
        </w:tabs>
        <w:spacing w:line="360" w:lineRule="auto"/>
        <w:rPr>
          <w:sz w:val="21"/>
        </w:rPr>
      </w:pPr>
      <w:r>
        <w:rPr>
          <w:rFonts w:hint="eastAsia"/>
          <w:sz w:val="21"/>
        </w:rPr>
        <w:t>季度财务报表</w:t>
      </w:r>
    </w:p>
    <w:p w14:paraId="0C963884">
      <w:pPr>
        <w:pStyle w:val="3"/>
        <w:numPr>
          <w:ilvl w:val="0"/>
          <w:numId w:val="6"/>
        </w:numPr>
        <w:tabs>
          <w:tab w:val="left" w:pos="924"/>
        </w:tabs>
        <w:spacing w:before="0" w:after="0" w:line="360" w:lineRule="auto"/>
        <w:ind w:left="0" w:firstLine="0"/>
      </w:pPr>
      <w:bookmarkStart w:id="24" w:name="_Hlk83901855"/>
      <w:bookmarkStart w:id="25" w:name="_Hlk83901321"/>
      <w:r>
        <w:rPr>
          <w:rFonts w:hint="eastAsia"/>
        </w:rPr>
        <w:t>审计意见类型</w:t>
      </w:r>
    </w:p>
    <w:sdt>
      <w:sdtPr>
        <w:rPr>
          <w:rFonts w:hint="eastAsia"/>
        </w:rPr>
        <w:alias w:val="是否适用：审计意见类型[双击切换]"/>
        <w:tag w:val="_GBC_90b90028ed084b90bc49ae6bb08d9f73"/>
        <w:id w:val="1466082987"/>
        <w:placeholder>
          <w:docPart w:val="GBC22222222222222222222222222222"/>
        </w:placeholder>
      </w:sdtPr>
      <w:sdtEndPr>
        <w:rPr>
          <w:rFonts w:hint="eastAsia"/>
        </w:rPr>
      </w:sdtEndPr>
      <w:sdtContent>
        <w:p w14:paraId="11D06D17">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967BCA2">
      <w:r>
        <w:br w:type="page"/>
      </w:r>
    </w:p>
    <w:bookmarkEnd w:id="24"/>
    <w:bookmarkEnd w:id="25"/>
    <w:p w14:paraId="5C46FEF7">
      <w:pPr>
        <w:pStyle w:val="3"/>
        <w:numPr>
          <w:ilvl w:val="0"/>
          <w:numId w:val="6"/>
        </w:numPr>
        <w:tabs>
          <w:tab w:val="left" w:pos="882"/>
          <w:tab w:val="left" w:pos="966"/>
        </w:tabs>
        <w:spacing w:before="0" w:after="0" w:line="360" w:lineRule="auto"/>
      </w:pPr>
      <w:r>
        <w:rPr>
          <w:rFonts w:hint="eastAsia"/>
        </w:rPr>
        <w:t>财务报表</w:t>
      </w:r>
    </w:p>
    <w:p w14:paraId="1F22A0A6">
      <w:pPr>
        <w:jc w:val="center"/>
        <w:outlineLvl w:val="2"/>
      </w:pPr>
      <w:r>
        <w:rPr>
          <w:rFonts w:hint="eastAsia"/>
          <w:b/>
        </w:rPr>
        <w:t>合并资产负债表</w:t>
      </w:r>
    </w:p>
    <w:p w14:paraId="568F46A0">
      <w:pPr>
        <w:jc w:val="center"/>
      </w:pPr>
      <w:r>
        <w:t>2025年</w:t>
      </w:r>
      <w:r>
        <w:rPr>
          <w:rFonts w:hint="eastAsia"/>
        </w:rPr>
        <w:t>9</w:t>
      </w:r>
      <w:r>
        <w:t>月3</w:t>
      </w:r>
      <w:r>
        <w:rPr>
          <w:rFonts w:hint="eastAsia"/>
        </w:rPr>
        <w:t>0</w:t>
      </w:r>
      <w:r>
        <w:t>日</w:t>
      </w:r>
    </w:p>
    <w:p w14:paraId="5C35097F">
      <w:r>
        <w:t>编制单位：</w:t>
      </w:r>
      <w:sdt>
        <w:sdtPr>
          <w:alias w:val="公司法定中文名称"/>
          <w:tag w:val="_GBC_c9fb4b7dc5d1436c86d5d78a650aacd3"/>
          <w:id w:val="1565072728"/>
          <w:placeholder>
            <w:docPart w:val="GBC22222222222222222222222222222"/>
          </w:placeholder>
          <w:dataBinding w:prefixMappings="xmlns:clcid-cgi='clcid-cgi'" w:xpath="/*/clcid-cgi:GongSiFaDingZhongWenMingCheng[not(@periodRef)]" w:storeItemID="{42DEBF9A-6816-48AE-BADD-E3125C474CD9}"/>
          <w:text/>
        </w:sdtPr>
        <w:sdtContent>
          <w:r>
            <w:t>通化东宝药业股份有限公司</w:t>
          </w:r>
        </w:sdtContent>
      </w:sdt>
    </w:p>
    <w:p w14:paraId="6F6035B5">
      <w:pPr>
        <w:wordWrap w:val="0"/>
        <w:jc w:val="right"/>
      </w:pPr>
      <w:r>
        <w:rPr>
          <w:rFonts w:hint="eastAsia"/>
        </w:rPr>
        <w:t>单位：</w:t>
      </w:r>
      <w:sdt>
        <w:sdtPr>
          <w:rPr>
            <w:rFonts w:hint="eastAsia"/>
          </w:rPr>
          <w:alias w:val="单位_资产负债表"/>
          <w:tag w:val="_GBC_1294a38421094fb28e8bde07676d9b31"/>
          <w:id w:val="2702140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t xml:space="preserve">  币种：</w:t>
      </w:r>
      <w:sdt>
        <w:sdtPr>
          <w:alias w:val="币种_资产负债表"/>
          <w:tag w:val="_GBC_d61179b1123049c4b31a72aaea71c0cb"/>
          <w:id w:val="-18702955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1995257922"/>
          <w:placeholder>
            <w:docPart w:val="GBC22222222222222222222222222222"/>
          </w:placeholder>
          <w:comboBox>
            <w:listItem w:displayText="未经审计" w:value="false"/>
            <w:listItem w:displayText="经审计" w:value="true"/>
          </w:comboBox>
        </w:sdtPr>
        <w:sdtEndPr>
          <w:rPr>
            <w:rFonts w:hint="eastAsia"/>
          </w:rPr>
        </w:sdtEndPr>
        <w:sdtContent>
          <w:r>
            <w:rPr>
              <w:rFonts w:hint="eastAsia"/>
            </w:rPr>
            <w:t>未经审计</w:t>
          </w:r>
        </w:sdtContent>
      </w:sdt>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76"/>
        <w:gridCol w:w="2536"/>
        <w:gridCol w:w="2537"/>
      </w:tblGrid>
      <w:tr w14:paraId="61992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2764e4d82b96470da85f883a3b1303f9"/>
            <w:id w:val="-1897267071"/>
          </w:sdtPr>
          <w:sdtContent>
            <w:tc>
              <w:tcPr>
                <w:tcW w:w="2197" w:type="pct"/>
                <w:tcBorders>
                  <w:top w:val="outset" w:color="auto" w:sz="6" w:space="0"/>
                  <w:left w:val="outset" w:color="auto" w:sz="6" w:space="0"/>
                  <w:bottom w:val="outset" w:color="auto" w:sz="6" w:space="0"/>
                  <w:right w:val="outset" w:color="auto" w:sz="6" w:space="0"/>
                </w:tcBorders>
                <w:vAlign w:val="center"/>
              </w:tcPr>
              <w:p w14:paraId="53CE2D74">
                <w:pPr>
                  <w:jc w:val="center"/>
                  <w:rPr>
                    <w:b/>
                  </w:rPr>
                </w:pPr>
                <w:r>
                  <w:rPr>
                    <w:b/>
                  </w:rPr>
                  <w:t>项目</w:t>
                </w:r>
              </w:p>
            </w:tc>
          </w:sdtContent>
        </w:sdt>
        <w:sdt>
          <w:sdtPr>
            <w:tag w:val="_PLD_1353c0a4351840acb64aaf83fe048ea0"/>
            <w:id w:val="-1872835642"/>
          </w:sdtPr>
          <w:sdtContent>
            <w:tc>
              <w:tcPr>
                <w:tcW w:w="1401" w:type="pct"/>
                <w:tcBorders>
                  <w:top w:val="outset" w:color="auto" w:sz="6" w:space="0"/>
                  <w:left w:val="outset" w:color="auto" w:sz="6" w:space="0"/>
                  <w:bottom w:val="outset" w:color="auto" w:sz="6" w:space="0"/>
                  <w:right w:val="outset" w:color="auto" w:sz="6" w:space="0"/>
                </w:tcBorders>
                <w:vAlign w:val="center"/>
              </w:tcPr>
              <w:p w14:paraId="27B28CE4">
                <w:pPr>
                  <w:jc w:val="center"/>
                </w:pPr>
                <w:r>
                  <w:rPr>
                    <w:b/>
                    <w:bCs/>
                  </w:rPr>
                  <w:t>2025年</w:t>
                </w:r>
                <w:r>
                  <w:rPr>
                    <w:rFonts w:hint="eastAsia"/>
                    <w:b/>
                    <w:bCs/>
                  </w:rPr>
                  <w:t>9</w:t>
                </w:r>
                <w:r>
                  <w:rPr>
                    <w:b/>
                    <w:bCs/>
                  </w:rPr>
                  <w:t>月3</w:t>
                </w:r>
                <w:r>
                  <w:rPr>
                    <w:rFonts w:hint="eastAsia"/>
                    <w:b/>
                    <w:bCs/>
                  </w:rPr>
                  <w:t>0</w:t>
                </w:r>
                <w:r>
                  <w:rPr>
                    <w:b/>
                    <w:bCs/>
                  </w:rPr>
                  <w:t>日</w:t>
                </w:r>
              </w:p>
            </w:tc>
          </w:sdtContent>
        </w:sdt>
        <w:sdt>
          <w:sdtPr>
            <w:tag w:val="_PLD_aee32c1df6fa40cca84ca0b5eb39eeb6"/>
            <w:id w:val="-443993139"/>
          </w:sdtPr>
          <w:sdtContent>
            <w:tc>
              <w:tcPr>
                <w:tcW w:w="1402" w:type="pct"/>
                <w:tcBorders>
                  <w:top w:val="outset" w:color="auto" w:sz="6" w:space="0"/>
                  <w:left w:val="outset" w:color="auto" w:sz="6" w:space="0"/>
                  <w:bottom w:val="outset" w:color="auto" w:sz="6" w:space="0"/>
                  <w:right w:val="outset" w:color="auto" w:sz="6" w:space="0"/>
                </w:tcBorders>
                <w:vAlign w:val="center"/>
              </w:tcPr>
              <w:p w14:paraId="07D3C0D4">
                <w:pPr>
                  <w:jc w:val="center"/>
                  <w:rPr>
                    <w:b/>
                  </w:rPr>
                </w:pPr>
                <w:r>
                  <w:rPr>
                    <w:rFonts w:hint="eastAsia"/>
                    <w:b/>
                  </w:rPr>
                  <w:t>2024年12月31日</w:t>
                </w:r>
              </w:p>
            </w:tc>
          </w:sdtContent>
        </w:sdt>
      </w:tr>
      <w:tr w14:paraId="3C161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cd203242f1f34dad9275b8b1d6efe180"/>
            <w:id w:val="-1939677215"/>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4BBD669A">
                <w:pPr>
                  <w:rPr>
                    <w:b/>
                    <w:color w:val="FF00FF"/>
                  </w:rPr>
                </w:pPr>
                <w:r>
                  <w:rPr>
                    <w:rFonts w:hint="eastAsia"/>
                    <w:b/>
                    <w:bCs/>
                  </w:rPr>
                  <w:t>流动资产：</w:t>
                </w:r>
              </w:p>
            </w:tc>
          </w:sdtContent>
        </w:sdt>
      </w:tr>
      <w:tr w14:paraId="7C204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58DFB7B">
            <w:pPr>
              <w:ind w:firstLine="210" w:firstLineChars="100"/>
            </w:pPr>
            <w:r>
              <w:rPr>
                <w:rFonts w:hint="eastAsia"/>
              </w:rPr>
              <w:t>货币资金</w:t>
            </w:r>
          </w:p>
        </w:tc>
        <w:tc>
          <w:tcPr>
            <w:tcW w:w="1401" w:type="pct"/>
            <w:tcBorders>
              <w:top w:val="outset" w:color="auto" w:sz="6" w:space="0"/>
              <w:left w:val="outset" w:color="auto" w:sz="6" w:space="0"/>
              <w:bottom w:val="outset" w:color="auto" w:sz="6" w:space="0"/>
              <w:right w:val="outset" w:color="auto" w:sz="6" w:space="0"/>
            </w:tcBorders>
            <w:vAlign w:val="center"/>
          </w:tcPr>
          <w:p w14:paraId="22F57414">
            <w:pPr>
              <w:jc w:val="right"/>
            </w:pPr>
            <w:r>
              <w:t>1,499,224,069.89</w:t>
            </w:r>
          </w:p>
        </w:tc>
        <w:tc>
          <w:tcPr>
            <w:tcW w:w="1402" w:type="pct"/>
            <w:tcBorders>
              <w:top w:val="outset" w:color="auto" w:sz="6" w:space="0"/>
              <w:left w:val="outset" w:color="auto" w:sz="6" w:space="0"/>
              <w:bottom w:val="outset" w:color="auto" w:sz="6" w:space="0"/>
              <w:right w:val="outset" w:color="auto" w:sz="6" w:space="0"/>
            </w:tcBorders>
            <w:vAlign w:val="center"/>
          </w:tcPr>
          <w:p w14:paraId="3D72E74D">
            <w:pPr>
              <w:jc w:val="right"/>
            </w:pPr>
            <w:r>
              <w:t>586,595,200.23</w:t>
            </w:r>
          </w:p>
        </w:tc>
      </w:tr>
      <w:tr w14:paraId="265BC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E14D7E3">
            <w:pPr>
              <w:ind w:firstLine="210" w:firstLineChars="100"/>
            </w:pPr>
            <w:r>
              <w:rPr>
                <w:rFonts w:hint="eastAsia"/>
              </w:rPr>
              <w:t>结算备付金</w:t>
            </w:r>
          </w:p>
        </w:tc>
        <w:tc>
          <w:tcPr>
            <w:tcW w:w="1401" w:type="pct"/>
            <w:tcBorders>
              <w:top w:val="outset" w:color="auto" w:sz="6" w:space="0"/>
              <w:left w:val="outset" w:color="auto" w:sz="6" w:space="0"/>
              <w:bottom w:val="outset" w:color="auto" w:sz="6" w:space="0"/>
              <w:right w:val="outset" w:color="auto" w:sz="6" w:space="0"/>
            </w:tcBorders>
          </w:tcPr>
          <w:p w14:paraId="00AB1A47">
            <w:pPr>
              <w:jc w:val="right"/>
            </w:pPr>
          </w:p>
        </w:tc>
        <w:tc>
          <w:tcPr>
            <w:tcW w:w="1402" w:type="pct"/>
            <w:tcBorders>
              <w:top w:val="outset" w:color="auto" w:sz="6" w:space="0"/>
              <w:left w:val="outset" w:color="auto" w:sz="6" w:space="0"/>
              <w:bottom w:val="outset" w:color="auto" w:sz="6" w:space="0"/>
              <w:right w:val="outset" w:color="auto" w:sz="6" w:space="0"/>
            </w:tcBorders>
          </w:tcPr>
          <w:p w14:paraId="3F1BBE2E">
            <w:pPr>
              <w:jc w:val="right"/>
            </w:pPr>
          </w:p>
        </w:tc>
      </w:tr>
      <w:tr w14:paraId="21473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90358B2">
            <w:pPr>
              <w:ind w:firstLine="210" w:firstLineChars="100"/>
            </w:pPr>
            <w:r>
              <w:rPr>
                <w:rFonts w:hint="eastAsia"/>
              </w:rPr>
              <w:t>拆出资金</w:t>
            </w:r>
          </w:p>
        </w:tc>
        <w:tc>
          <w:tcPr>
            <w:tcW w:w="1401" w:type="pct"/>
            <w:tcBorders>
              <w:top w:val="outset" w:color="auto" w:sz="6" w:space="0"/>
              <w:left w:val="outset" w:color="auto" w:sz="6" w:space="0"/>
              <w:bottom w:val="outset" w:color="auto" w:sz="6" w:space="0"/>
              <w:right w:val="outset" w:color="auto" w:sz="6" w:space="0"/>
            </w:tcBorders>
          </w:tcPr>
          <w:p w14:paraId="006E8028">
            <w:pPr>
              <w:jc w:val="right"/>
            </w:pPr>
          </w:p>
        </w:tc>
        <w:tc>
          <w:tcPr>
            <w:tcW w:w="1402" w:type="pct"/>
            <w:tcBorders>
              <w:top w:val="outset" w:color="auto" w:sz="6" w:space="0"/>
              <w:left w:val="outset" w:color="auto" w:sz="6" w:space="0"/>
              <w:bottom w:val="outset" w:color="auto" w:sz="6" w:space="0"/>
              <w:right w:val="outset" w:color="auto" w:sz="6" w:space="0"/>
            </w:tcBorders>
          </w:tcPr>
          <w:p w14:paraId="2A3729B1">
            <w:pPr>
              <w:jc w:val="right"/>
            </w:pPr>
          </w:p>
        </w:tc>
      </w:tr>
      <w:tr w14:paraId="50773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40C6C15">
            <w:pPr>
              <w:ind w:firstLine="210" w:firstLineChars="100"/>
            </w:pPr>
            <w:r>
              <w:rPr>
                <w:rFonts w:hint="eastAsia"/>
              </w:rPr>
              <w:t>交易性金融资产</w:t>
            </w:r>
          </w:p>
        </w:tc>
        <w:tc>
          <w:tcPr>
            <w:tcW w:w="1401" w:type="pct"/>
            <w:tcBorders>
              <w:top w:val="outset" w:color="auto" w:sz="6" w:space="0"/>
              <w:left w:val="outset" w:color="auto" w:sz="6" w:space="0"/>
              <w:bottom w:val="outset" w:color="auto" w:sz="6" w:space="0"/>
              <w:right w:val="outset" w:color="auto" w:sz="6" w:space="0"/>
            </w:tcBorders>
            <w:vAlign w:val="center"/>
          </w:tcPr>
          <w:p w14:paraId="2B9B3B48">
            <w:pPr>
              <w:jc w:val="right"/>
            </w:pPr>
            <w:r>
              <w:t>160,000,000.00</w:t>
            </w:r>
          </w:p>
        </w:tc>
        <w:tc>
          <w:tcPr>
            <w:tcW w:w="1402" w:type="pct"/>
            <w:tcBorders>
              <w:top w:val="outset" w:color="auto" w:sz="6" w:space="0"/>
              <w:left w:val="outset" w:color="auto" w:sz="6" w:space="0"/>
              <w:bottom w:val="outset" w:color="auto" w:sz="6" w:space="0"/>
              <w:right w:val="outset" w:color="auto" w:sz="6" w:space="0"/>
            </w:tcBorders>
            <w:vAlign w:val="center"/>
          </w:tcPr>
          <w:p w14:paraId="7D3E0C9F">
            <w:pPr>
              <w:jc w:val="right"/>
            </w:pPr>
            <w:r>
              <w:t>55,400,927.52</w:t>
            </w:r>
          </w:p>
        </w:tc>
      </w:tr>
      <w:tr w14:paraId="0770E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9779176">
            <w:pPr>
              <w:ind w:firstLine="210" w:firstLineChars="100"/>
            </w:pPr>
            <w:r>
              <w:rPr>
                <w:rFonts w:hint="eastAsia"/>
              </w:rPr>
              <w:t>衍生金融资产</w:t>
            </w:r>
          </w:p>
        </w:tc>
        <w:tc>
          <w:tcPr>
            <w:tcW w:w="1401" w:type="pct"/>
            <w:tcBorders>
              <w:top w:val="outset" w:color="auto" w:sz="6" w:space="0"/>
              <w:left w:val="outset" w:color="auto" w:sz="6" w:space="0"/>
              <w:bottom w:val="outset" w:color="auto" w:sz="6" w:space="0"/>
              <w:right w:val="outset" w:color="auto" w:sz="6" w:space="0"/>
            </w:tcBorders>
          </w:tcPr>
          <w:p w14:paraId="4B141137">
            <w:pPr>
              <w:jc w:val="right"/>
            </w:pPr>
          </w:p>
        </w:tc>
        <w:tc>
          <w:tcPr>
            <w:tcW w:w="1402" w:type="pct"/>
            <w:tcBorders>
              <w:top w:val="outset" w:color="auto" w:sz="6" w:space="0"/>
              <w:left w:val="outset" w:color="auto" w:sz="6" w:space="0"/>
              <w:bottom w:val="outset" w:color="auto" w:sz="6" w:space="0"/>
              <w:right w:val="outset" w:color="auto" w:sz="6" w:space="0"/>
            </w:tcBorders>
          </w:tcPr>
          <w:p w14:paraId="5BE55168">
            <w:pPr>
              <w:jc w:val="right"/>
            </w:pPr>
          </w:p>
        </w:tc>
      </w:tr>
      <w:tr w14:paraId="6AFEC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18A1D64">
            <w:pPr>
              <w:ind w:firstLine="210" w:firstLineChars="100"/>
            </w:pPr>
            <w:r>
              <w:rPr>
                <w:rFonts w:hint="eastAsia"/>
              </w:rPr>
              <w:t>应收票据</w:t>
            </w:r>
          </w:p>
        </w:tc>
        <w:tc>
          <w:tcPr>
            <w:tcW w:w="1401" w:type="pct"/>
            <w:tcBorders>
              <w:top w:val="outset" w:color="auto" w:sz="6" w:space="0"/>
              <w:left w:val="outset" w:color="auto" w:sz="6" w:space="0"/>
              <w:bottom w:val="outset" w:color="auto" w:sz="6" w:space="0"/>
              <w:right w:val="outset" w:color="auto" w:sz="6" w:space="0"/>
            </w:tcBorders>
            <w:vAlign w:val="center"/>
          </w:tcPr>
          <w:p w14:paraId="7A9645C3">
            <w:pPr>
              <w:jc w:val="right"/>
            </w:pPr>
            <w:r>
              <w:t>1,050,181.04</w:t>
            </w:r>
          </w:p>
        </w:tc>
        <w:tc>
          <w:tcPr>
            <w:tcW w:w="1402" w:type="pct"/>
            <w:tcBorders>
              <w:top w:val="outset" w:color="auto" w:sz="6" w:space="0"/>
              <w:left w:val="outset" w:color="auto" w:sz="6" w:space="0"/>
              <w:bottom w:val="outset" w:color="auto" w:sz="6" w:space="0"/>
              <w:right w:val="outset" w:color="auto" w:sz="6" w:space="0"/>
            </w:tcBorders>
            <w:vAlign w:val="center"/>
          </w:tcPr>
          <w:p w14:paraId="71FF5222">
            <w:pPr>
              <w:jc w:val="right"/>
            </w:pPr>
            <w:r>
              <w:t>6,634,809.89</w:t>
            </w:r>
          </w:p>
        </w:tc>
      </w:tr>
      <w:tr w14:paraId="02E56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BDC5AA6">
            <w:pPr>
              <w:ind w:firstLine="210" w:firstLineChars="100"/>
            </w:pPr>
            <w:r>
              <w:rPr>
                <w:rFonts w:hint="eastAsia"/>
              </w:rPr>
              <w:t>应收账款</w:t>
            </w:r>
          </w:p>
        </w:tc>
        <w:tc>
          <w:tcPr>
            <w:tcW w:w="1401" w:type="pct"/>
            <w:tcBorders>
              <w:top w:val="outset" w:color="auto" w:sz="6" w:space="0"/>
              <w:left w:val="outset" w:color="auto" w:sz="6" w:space="0"/>
              <w:bottom w:val="outset" w:color="auto" w:sz="6" w:space="0"/>
              <w:right w:val="outset" w:color="auto" w:sz="6" w:space="0"/>
            </w:tcBorders>
            <w:vAlign w:val="center"/>
          </w:tcPr>
          <w:p w14:paraId="5F8E658C">
            <w:pPr>
              <w:jc w:val="right"/>
            </w:pPr>
            <w:r>
              <w:t>464,085,750.76</w:t>
            </w:r>
          </w:p>
        </w:tc>
        <w:tc>
          <w:tcPr>
            <w:tcW w:w="1402" w:type="pct"/>
            <w:tcBorders>
              <w:top w:val="outset" w:color="auto" w:sz="6" w:space="0"/>
              <w:left w:val="outset" w:color="auto" w:sz="6" w:space="0"/>
              <w:bottom w:val="outset" w:color="auto" w:sz="6" w:space="0"/>
              <w:right w:val="outset" w:color="auto" w:sz="6" w:space="0"/>
            </w:tcBorders>
            <w:vAlign w:val="center"/>
          </w:tcPr>
          <w:p w14:paraId="74DAA47E">
            <w:pPr>
              <w:jc w:val="right"/>
            </w:pPr>
            <w:r>
              <w:t>486,512,039.38</w:t>
            </w:r>
          </w:p>
        </w:tc>
      </w:tr>
      <w:tr w14:paraId="1B6F6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4B5AE8E">
            <w:pPr>
              <w:ind w:firstLine="210" w:firstLineChars="100"/>
            </w:pPr>
            <w:r>
              <w:rPr>
                <w:rFonts w:hint="eastAsia"/>
              </w:rPr>
              <w:t>应收款项融资</w:t>
            </w:r>
          </w:p>
        </w:tc>
        <w:tc>
          <w:tcPr>
            <w:tcW w:w="1401" w:type="pct"/>
            <w:tcBorders>
              <w:top w:val="outset" w:color="auto" w:sz="6" w:space="0"/>
              <w:left w:val="outset" w:color="auto" w:sz="6" w:space="0"/>
              <w:bottom w:val="outset" w:color="auto" w:sz="6" w:space="0"/>
              <w:right w:val="outset" w:color="auto" w:sz="6" w:space="0"/>
            </w:tcBorders>
            <w:vAlign w:val="center"/>
          </w:tcPr>
          <w:p w14:paraId="38F6534F">
            <w:pPr>
              <w:jc w:val="right"/>
            </w:pPr>
            <w:r>
              <w:t>24,327,748.08</w:t>
            </w:r>
          </w:p>
        </w:tc>
        <w:tc>
          <w:tcPr>
            <w:tcW w:w="1402" w:type="pct"/>
            <w:tcBorders>
              <w:top w:val="outset" w:color="auto" w:sz="6" w:space="0"/>
              <w:left w:val="outset" w:color="auto" w:sz="6" w:space="0"/>
              <w:bottom w:val="outset" w:color="auto" w:sz="6" w:space="0"/>
              <w:right w:val="outset" w:color="auto" w:sz="6" w:space="0"/>
            </w:tcBorders>
            <w:vAlign w:val="center"/>
          </w:tcPr>
          <w:p w14:paraId="5CE6C062">
            <w:pPr>
              <w:jc w:val="right"/>
            </w:pPr>
            <w:r>
              <w:t>54,419,623.26</w:t>
            </w:r>
          </w:p>
        </w:tc>
      </w:tr>
      <w:tr w14:paraId="0BB81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B2CDA03">
            <w:pPr>
              <w:ind w:firstLine="210" w:firstLineChars="100"/>
            </w:pPr>
            <w:r>
              <w:rPr>
                <w:rFonts w:hint="eastAsia"/>
              </w:rPr>
              <w:t>预付款项</w:t>
            </w:r>
          </w:p>
        </w:tc>
        <w:tc>
          <w:tcPr>
            <w:tcW w:w="1401" w:type="pct"/>
            <w:tcBorders>
              <w:top w:val="outset" w:color="auto" w:sz="6" w:space="0"/>
              <w:left w:val="outset" w:color="auto" w:sz="6" w:space="0"/>
              <w:bottom w:val="outset" w:color="auto" w:sz="6" w:space="0"/>
              <w:right w:val="outset" w:color="auto" w:sz="6" w:space="0"/>
            </w:tcBorders>
            <w:vAlign w:val="center"/>
          </w:tcPr>
          <w:p w14:paraId="22B472A5">
            <w:pPr>
              <w:jc w:val="right"/>
            </w:pPr>
            <w:r>
              <w:t>66,038,239.63</w:t>
            </w:r>
          </w:p>
        </w:tc>
        <w:tc>
          <w:tcPr>
            <w:tcW w:w="1402" w:type="pct"/>
            <w:tcBorders>
              <w:top w:val="outset" w:color="auto" w:sz="6" w:space="0"/>
              <w:left w:val="outset" w:color="auto" w:sz="6" w:space="0"/>
              <w:bottom w:val="outset" w:color="auto" w:sz="6" w:space="0"/>
              <w:right w:val="outset" w:color="auto" w:sz="6" w:space="0"/>
            </w:tcBorders>
            <w:vAlign w:val="center"/>
          </w:tcPr>
          <w:p w14:paraId="7F9ED757">
            <w:pPr>
              <w:jc w:val="right"/>
            </w:pPr>
            <w:r>
              <w:t>28,365,363.12</w:t>
            </w:r>
          </w:p>
        </w:tc>
      </w:tr>
      <w:tr w14:paraId="7A3C0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0244512">
            <w:pPr>
              <w:ind w:firstLine="210" w:firstLineChars="100"/>
            </w:pPr>
            <w:r>
              <w:rPr>
                <w:rFonts w:hint="eastAsia"/>
              </w:rPr>
              <w:t>应收保费</w:t>
            </w:r>
          </w:p>
        </w:tc>
        <w:tc>
          <w:tcPr>
            <w:tcW w:w="1401" w:type="pct"/>
            <w:tcBorders>
              <w:top w:val="outset" w:color="auto" w:sz="6" w:space="0"/>
              <w:left w:val="outset" w:color="auto" w:sz="6" w:space="0"/>
              <w:bottom w:val="outset" w:color="auto" w:sz="6" w:space="0"/>
              <w:right w:val="outset" w:color="auto" w:sz="6" w:space="0"/>
            </w:tcBorders>
          </w:tcPr>
          <w:p w14:paraId="7A7A985B">
            <w:pPr>
              <w:jc w:val="right"/>
            </w:pPr>
          </w:p>
        </w:tc>
        <w:tc>
          <w:tcPr>
            <w:tcW w:w="1402" w:type="pct"/>
            <w:tcBorders>
              <w:top w:val="outset" w:color="auto" w:sz="6" w:space="0"/>
              <w:left w:val="outset" w:color="auto" w:sz="6" w:space="0"/>
              <w:bottom w:val="outset" w:color="auto" w:sz="6" w:space="0"/>
              <w:right w:val="outset" w:color="auto" w:sz="6" w:space="0"/>
            </w:tcBorders>
          </w:tcPr>
          <w:p w14:paraId="4C33CC93">
            <w:pPr>
              <w:jc w:val="right"/>
            </w:pPr>
          </w:p>
        </w:tc>
      </w:tr>
      <w:tr w14:paraId="7DD27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B82F8C7">
            <w:pPr>
              <w:ind w:firstLine="210" w:firstLineChars="100"/>
            </w:pPr>
            <w:r>
              <w:rPr>
                <w:rFonts w:hint="eastAsia"/>
              </w:rPr>
              <w:t>应收分保账款</w:t>
            </w:r>
          </w:p>
        </w:tc>
        <w:tc>
          <w:tcPr>
            <w:tcW w:w="1401" w:type="pct"/>
            <w:tcBorders>
              <w:top w:val="outset" w:color="auto" w:sz="6" w:space="0"/>
              <w:left w:val="outset" w:color="auto" w:sz="6" w:space="0"/>
              <w:bottom w:val="outset" w:color="auto" w:sz="6" w:space="0"/>
              <w:right w:val="outset" w:color="auto" w:sz="6" w:space="0"/>
            </w:tcBorders>
          </w:tcPr>
          <w:p w14:paraId="1A8EDE36">
            <w:pPr>
              <w:jc w:val="right"/>
            </w:pPr>
          </w:p>
        </w:tc>
        <w:tc>
          <w:tcPr>
            <w:tcW w:w="1402" w:type="pct"/>
            <w:tcBorders>
              <w:top w:val="outset" w:color="auto" w:sz="6" w:space="0"/>
              <w:left w:val="outset" w:color="auto" w:sz="6" w:space="0"/>
              <w:bottom w:val="outset" w:color="auto" w:sz="6" w:space="0"/>
              <w:right w:val="outset" w:color="auto" w:sz="6" w:space="0"/>
            </w:tcBorders>
          </w:tcPr>
          <w:p w14:paraId="75EF7117">
            <w:pPr>
              <w:jc w:val="right"/>
            </w:pPr>
          </w:p>
        </w:tc>
      </w:tr>
      <w:tr w14:paraId="4E445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E3B10DF">
            <w:pPr>
              <w:ind w:firstLine="210" w:firstLineChars="100"/>
            </w:pPr>
            <w:r>
              <w:rPr>
                <w:rFonts w:hint="eastAsia"/>
              </w:rPr>
              <w:t>应收分保合同准备金</w:t>
            </w:r>
          </w:p>
        </w:tc>
        <w:tc>
          <w:tcPr>
            <w:tcW w:w="1401" w:type="pct"/>
            <w:tcBorders>
              <w:top w:val="outset" w:color="auto" w:sz="6" w:space="0"/>
              <w:left w:val="outset" w:color="auto" w:sz="6" w:space="0"/>
              <w:bottom w:val="outset" w:color="auto" w:sz="6" w:space="0"/>
              <w:right w:val="outset" w:color="auto" w:sz="6" w:space="0"/>
            </w:tcBorders>
          </w:tcPr>
          <w:p w14:paraId="0B02F0E4">
            <w:pPr>
              <w:jc w:val="right"/>
            </w:pPr>
          </w:p>
        </w:tc>
        <w:tc>
          <w:tcPr>
            <w:tcW w:w="1402" w:type="pct"/>
            <w:tcBorders>
              <w:top w:val="outset" w:color="auto" w:sz="6" w:space="0"/>
              <w:left w:val="outset" w:color="auto" w:sz="6" w:space="0"/>
              <w:bottom w:val="outset" w:color="auto" w:sz="6" w:space="0"/>
              <w:right w:val="outset" w:color="auto" w:sz="6" w:space="0"/>
            </w:tcBorders>
          </w:tcPr>
          <w:p w14:paraId="0ADFFEF2">
            <w:pPr>
              <w:jc w:val="right"/>
            </w:pPr>
          </w:p>
        </w:tc>
      </w:tr>
      <w:tr w14:paraId="066AE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E1E9288">
            <w:pPr>
              <w:ind w:firstLine="210" w:firstLineChars="100"/>
            </w:pPr>
            <w:r>
              <w:rPr>
                <w:rFonts w:hint="eastAsia"/>
              </w:rPr>
              <w:t>其他应收款</w:t>
            </w:r>
          </w:p>
        </w:tc>
        <w:tc>
          <w:tcPr>
            <w:tcW w:w="1401" w:type="pct"/>
            <w:tcBorders>
              <w:top w:val="outset" w:color="auto" w:sz="6" w:space="0"/>
              <w:left w:val="outset" w:color="auto" w:sz="6" w:space="0"/>
              <w:bottom w:val="outset" w:color="auto" w:sz="6" w:space="0"/>
              <w:right w:val="outset" w:color="auto" w:sz="6" w:space="0"/>
            </w:tcBorders>
            <w:vAlign w:val="center"/>
          </w:tcPr>
          <w:p w14:paraId="65E8398E">
            <w:pPr>
              <w:jc w:val="right"/>
            </w:pPr>
            <w:r>
              <w:t>12,767,313.15</w:t>
            </w:r>
          </w:p>
        </w:tc>
        <w:tc>
          <w:tcPr>
            <w:tcW w:w="1402" w:type="pct"/>
            <w:tcBorders>
              <w:top w:val="outset" w:color="auto" w:sz="6" w:space="0"/>
              <w:left w:val="outset" w:color="auto" w:sz="6" w:space="0"/>
              <w:bottom w:val="outset" w:color="auto" w:sz="6" w:space="0"/>
              <w:right w:val="outset" w:color="auto" w:sz="6" w:space="0"/>
            </w:tcBorders>
            <w:vAlign w:val="center"/>
          </w:tcPr>
          <w:p w14:paraId="18F4E7BC">
            <w:pPr>
              <w:jc w:val="right"/>
            </w:pPr>
            <w:r>
              <w:t>7,881,738.69</w:t>
            </w:r>
          </w:p>
        </w:tc>
      </w:tr>
      <w:tr w14:paraId="04DAE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E3BEE33">
            <w:pPr>
              <w:ind w:firstLine="210" w:firstLineChars="100"/>
            </w:pPr>
            <w:r>
              <w:rPr>
                <w:rFonts w:hint="eastAsia"/>
              </w:rPr>
              <w:t>其中：应收利息</w:t>
            </w:r>
          </w:p>
        </w:tc>
        <w:tc>
          <w:tcPr>
            <w:tcW w:w="1401" w:type="pct"/>
            <w:tcBorders>
              <w:top w:val="outset" w:color="auto" w:sz="6" w:space="0"/>
              <w:left w:val="outset" w:color="auto" w:sz="6" w:space="0"/>
              <w:bottom w:val="outset" w:color="auto" w:sz="6" w:space="0"/>
              <w:right w:val="outset" w:color="auto" w:sz="6" w:space="0"/>
            </w:tcBorders>
          </w:tcPr>
          <w:p w14:paraId="6C2DF291">
            <w:pPr>
              <w:jc w:val="right"/>
            </w:pPr>
          </w:p>
        </w:tc>
        <w:tc>
          <w:tcPr>
            <w:tcW w:w="1402" w:type="pct"/>
            <w:tcBorders>
              <w:top w:val="outset" w:color="auto" w:sz="6" w:space="0"/>
              <w:left w:val="outset" w:color="auto" w:sz="6" w:space="0"/>
              <w:bottom w:val="outset" w:color="auto" w:sz="6" w:space="0"/>
              <w:right w:val="outset" w:color="auto" w:sz="6" w:space="0"/>
            </w:tcBorders>
          </w:tcPr>
          <w:p w14:paraId="39BF8EED">
            <w:pPr>
              <w:jc w:val="right"/>
            </w:pPr>
          </w:p>
        </w:tc>
      </w:tr>
      <w:tr w14:paraId="7301F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C54AC4F">
            <w:pPr>
              <w:ind w:firstLine="840" w:firstLineChars="400"/>
            </w:pPr>
            <w:r>
              <w:rPr>
                <w:rFonts w:hint="eastAsia"/>
              </w:rPr>
              <w:t>应收股利</w:t>
            </w:r>
          </w:p>
        </w:tc>
        <w:tc>
          <w:tcPr>
            <w:tcW w:w="1401" w:type="pct"/>
            <w:tcBorders>
              <w:top w:val="outset" w:color="auto" w:sz="6" w:space="0"/>
              <w:left w:val="outset" w:color="auto" w:sz="6" w:space="0"/>
              <w:bottom w:val="outset" w:color="auto" w:sz="6" w:space="0"/>
              <w:right w:val="outset" w:color="auto" w:sz="6" w:space="0"/>
            </w:tcBorders>
          </w:tcPr>
          <w:p w14:paraId="3763445E">
            <w:pPr>
              <w:jc w:val="right"/>
            </w:pPr>
          </w:p>
        </w:tc>
        <w:tc>
          <w:tcPr>
            <w:tcW w:w="1402" w:type="pct"/>
            <w:tcBorders>
              <w:top w:val="outset" w:color="auto" w:sz="6" w:space="0"/>
              <w:left w:val="outset" w:color="auto" w:sz="6" w:space="0"/>
              <w:bottom w:val="outset" w:color="auto" w:sz="6" w:space="0"/>
              <w:right w:val="outset" w:color="auto" w:sz="6" w:space="0"/>
            </w:tcBorders>
          </w:tcPr>
          <w:p w14:paraId="764292AD">
            <w:pPr>
              <w:jc w:val="right"/>
            </w:pPr>
          </w:p>
        </w:tc>
      </w:tr>
      <w:tr w14:paraId="19BDE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C728ADA">
            <w:pPr>
              <w:ind w:firstLine="210" w:firstLineChars="100"/>
            </w:pPr>
            <w:r>
              <w:rPr>
                <w:rFonts w:hint="eastAsia"/>
              </w:rPr>
              <w:t>买入返售金融资产</w:t>
            </w:r>
          </w:p>
        </w:tc>
        <w:tc>
          <w:tcPr>
            <w:tcW w:w="1401" w:type="pct"/>
            <w:tcBorders>
              <w:top w:val="outset" w:color="auto" w:sz="6" w:space="0"/>
              <w:left w:val="outset" w:color="auto" w:sz="6" w:space="0"/>
              <w:bottom w:val="outset" w:color="auto" w:sz="6" w:space="0"/>
              <w:right w:val="outset" w:color="auto" w:sz="6" w:space="0"/>
            </w:tcBorders>
          </w:tcPr>
          <w:p w14:paraId="414598A6">
            <w:pPr>
              <w:jc w:val="right"/>
            </w:pPr>
          </w:p>
        </w:tc>
        <w:tc>
          <w:tcPr>
            <w:tcW w:w="1402" w:type="pct"/>
            <w:tcBorders>
              <w:top w:val="outset" w:color="auto" w:sz="6" w:space="0"/>
              <w:left w:val="outset" w:color="auto" w:sz="6" w:space="0"/>
              <w:bottom w:val="outset" w:color="auto" w:sz="6" w:space="0"/>
              <w:right w:val="outset" w:color="auto" w:sz="6" w:space="0"/>
            </w:tcBorders>
          </w:tcPr>
          <w:p w14:paraId="25FDEEC6">
            <w:pPr>
              <w:jc w:val="right"/>
            </w:pPr>
          </w:p>
        </w:tc>
      </w:tr>
      <w:tr w14:paraId="47748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6375FD9">
            <w:pPr>
              <w:ind w:firstLine="210" w:firstLineChars="100"/>
            </w:pPr>
            <w:r>
              <w:rPr>
                <w:rFonts w:hint="eastAsia"/>
              </w:rPr>
              <w:t>存货</w:t>
            </w:r>
          </w:p>
        </w:tc>
        <w:tc>
          <w:tcPr>
            <w:tcW w:w="1401" w:type="pct"/>
            <w:tcBorders>
              <w:top w:val="outset" w:color="auto" w:sz="6" w:space="0"/>
              <w:left w:val="outset" w:color="auto" w:sz="6" w:space="0"/>
              <w:bottom w:val="outset" w:color="auto" w:sz="6" w:space="0"/>
              <w:right w:val="outset" w:color="auto" w:sz="6" w:space="0"/>
            </w:tcBorders>
            <w:vAlign w:val="center"/>
          </w:tcPr>
          <w:p w14:paraId="3564C533">
            <w:pPr>
              <w:jc w:val="right"/>
            </w:pPr>
            <w:r>
              <w:t>740,523,999.80</w:t>
            </w:r>
          </w:p>
        </w:tc>
        <w:tc>
          <w:tcPr>
            <w:tcW w:w="1402" w:type="pct"/>
            <w:tcBorders>
              <w:top w:val="outset" w:color="auto" w:sz="6" w:space="0"/>
              <w:left w:val="outset" w:color="auto" w:sz="6" w:space="0"/>
              <w:bottom w:val="outset" w:color="auto" w:sz="6" w:space="0"/>
              <w:right w:val="outset" w:color="auto" w:sz="6" w:space="0"/>
            </w:tcBorders>
            <w:vAlign w:val="center"/>
          </w:tcPr>
          <w:p w14:paraId="75EE064C">
            <w:pPr>
              <w:jc w:val="right"/>
            </w:pPr>
            <w:r>
              <w:t>736,309,312.91</w:t>
            </w:r>
          </w:p>
        </w:tc>
      </w:tr>
      <w:tr w14:paraId="78E3E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CF0F6FB">
            <w:pPr>
              <w:ind w:firstLine="210" w:firstLineChars="100"/>
            </w:pPr>
            <w:r>
              <w:rPr>
                <w:rFonts w:hint="eastAsia"/>
              </w:rPr>
              <w:t>其中：数据资源</w:t>
            </w:r>
          </w:p>
        </w:tc>
        <w:tc>
          <w:tcPr>
            <w:tcW w:w="1401" w:type="pct"/>
            <w:tcBorders>
              <w:top w:val="outset" w:color="auto" w:sz="6" w:space="0"/>
              <w:left w:val="outset" w:color="auto" w:sz="6" w:space="0"/>
              <w:bottom w:val="outset" w:color="auto" w:sz="6" w:space="0"/>
              <w:right w:val="outset" w:color="auto" w:sz="6" w:space="0"/>
            </w:tcBorders>
          </w:tcPr>
          <w:p w14:paraId="233FEFC6">
            <w:pPr>
              <w:jc w:val="right"/>
            </w:pPr>
          </w:p>
        </w:tc>
        <w:tc>
          <w:tcPr>
            <w:tcW w:w="1402" w:type="pct"/>
            <w:tcBorders>
              <w:top w:val="outset" w:color="auto" w:sz="6" w:space="0"/>
              <w:left w:val="outset" w:color="auto" w:sz="6" w:space="0"/>
              <w:bottom w:val="outset" w:color="auto" w:sz="6" w:space="0"/>
              <w:right w:val="outset" w:color="auto" w:sz="6" w:space="0"/>
            </w:tcBorders>
          </w:tcPr>
          <w:p w14:paraId="66DE4AAE">
            <w:pPr>
              <w:jc w:val="right"/>
            </w:pPr>
          </w:p>
        </w:tc>
      </w:tr>
      <w:tr w14:paraId="00781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A36ED1B">
            <w:pPr>
              <w:ind w:firstLine="210" w:firstLineChars="100"/>
            </w:pPr>
            <w:r>
              <w:rPr>
                <w:rFonts w:hint="eastAsia"/>
              </w:rPr>
              <w:t>合同资产</w:t>
            </w:r>
          </w:p>
        </w:tc>
        <w:tc>
          <w:tcPr>
            <w:tcW w:w="1401" w:type="pct"/>
            <w:tcBorders>
              <w:top w:val="outset" w:color="auto" w:sz="6" w:space="0"/>
              <w:left w:val="outset" w:color="auto" w:sz="6" w:space="0"/>
              <w:bottom w:val="outset" w:color="auto" w:sz="6" w:space="0"/>
              <w:right w:val="outset" w:color="auto" w:sz="6" w:space="0"/>
            </w:tcBorders>
          </w:tcPr>
          <w:p w14:paraId="0832F968">
            <w:pPr>
              <w:jc w:val="right"/>
            </w:pPr>
          </w:p>
        </w:tc>
        <w:tc>
          <w:tcPr>
            <w:tcW w:w="1402" w:type="pct"/>
            <w:tcBorders>
              <w:top w:val="outset" w:color="auto" w:sz="6" w:space="0"/>
              <w:left w:val="outset" w:color="auto" w:sz="6" w:space="0"/>
              <w:bottom w:val="outset" w:color="auto" w:sz="6" w:space="0"/>
              <w:right w:val="outset" w:color="auto" w:sz="6" w:space="0"/>
            </w:tcBorders>
          </w:tcPr>
          <w:p w14:paraId="2696C108">
            <w:pPr>
              <w:jc w:val="right"/>
            </w:pPr>
          </w:p>
        </w:tc>
      </w:tr>
      <w:tr w14:paraId="55FF7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A11F6A7">
            <w:pPr>
              <w:ind w:firstLine="210" w:firstLineChars="100"/>
            </w:pPr>
            <w:r>
              <w:rPr>
                <w:rFonts w:hint="eastAsia"/>
              </w:rPr>
              <w:t>持有待售资产</w:t>
            </w:r>
          </w:p>
        </w:tc>
        <w:tc>
          <w:tcPr>
            <w:tcW w:w="1401" w:type="pct"/>
            <w:tcBorders>
              <w:top w:val="outset" w:color="auto" w:sz="6" w:space="0"/>
              <w:left w:val="outset" w:color="auto" w:sz="6" w:space="0"/>
              <w:bottom w:val="outset" w:color="auto" w:sz="6" w:space="0"/>
              <w:right w:val="outset" w:color="auto" w:sz="6" w:space="0"/>
            </w:tcBorders>
          </w:tcPr>
          <w:p w14:paraId="3E301A65">
            <w:pPr>
              <w:jc w:val="right"/>
            </w:pPr>
          </w:p>
        </w:tc>
        <w:tc>
          <w:tcPr>
            <w:tcW w:w="1402" w:type="pct"/>
            <w:tcBorders>
              <w:top w:val="outset" w:color="auto" w:sz="6" w:space="0"/>
              <w:left w:val="outset" w:color="auto" w:sz="6" w:space="0"/>
              <w:bottom w:val="outset" w:color="auto" w:sz="6" w:space="0"/>
              <w:right w:val="outset" w:color="auto" w:sz="6" w:space="0"/>
            </w:tcBorders>
          </w:tcPr>
          <w:p w14:paraId="56715CBC">
            <w:pPr>
              <w:jc w:val="right"/>
            </w:pPr>
          </w:p>
        </w:tc>
      </w:tr>
      <w:tr w14:paraId="2BCBA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4A210B0">
            <w:pPr>
              <w:ind w:firstLine="210" w:firstLineChars="100"/>
            </w:pPr>
            <w:r>
              <w:rPr>
                <w:rFonts w:hint="eastAsia"/>
              </w:rPr>
              <w:t>一年内到期的非流动资产</w:t>
            </w:r>
          </w:p>
        </w:tc>
        <w:tc>
          <w:tcPr>
            <w:tcW w:w="1401" w:type="pct"/>
            <w:tcBorders>
              <w:top w:val="outset" w:color="auto" w:sz="6" w:space="0"/>
              <w:left w:val="outset" w:color="auto" w:sz="6" w:space="0"/>
              <w:bottom w:val="outset" w:color="auto" w:sz="6" w:space="0"/>
              <w:right w:val="outset" w:color="auto" w:sz="6" w:space="0"/>
            </w:tcBorders>
          </w:tcPr>
          <w:p w14:paraId="18670728">
            <w:pPr>
              <w:jc w:val="right"/>
            </w:pPr>
          </w:p>
        </w:tc>
        <w:tc>
          <w:tcPr>
            <w:tcW w:w="1402" w:type="pct"/>
            <w:tcBorders>
              <w:top w:val="outset" w:color="auto" w:sz="6" w:space="0"/>
              <w:left w:val="outset" w:color="auto" w:sz="6" w:space="0"/>
              <w:bottom w:val="outset" w:color="auto" w:sz="6" w:space="0"/>
              <w:right w:val="outset" w:color="auto" w:sz="6" w:space="0"/>
            </w:tcBorders>
          </w:tcPr>
          <w:p w14:paraId="438A4D7E">
            <w:pPr>
              <w:jc w:val="right"/>
            </w:pPr>
          </w:p>
        </w:tc>
      </w:tr>
      <w:tr w14:paraId="1A616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F69ED64">
            <w:pPr>
              <w:ind w:firstLine="210" w:firstLineChars="100"/>
            </w:pPr>
            <w:r>
              <w:rPr>
                <w:rFonts w:hint="eastAsia"/>
              </w:rPr>
              <w:t>其他流动资产</w:t>
            </w:r>
          </w:p>
        </w:tc>
        <w:tc>
          <w:tcPr>
            <w:tcW w:w="1401" w:type="pct"/>
            <w:tcBorders>
              <w:top w:val="outset" w:color="auto" w:sz="6" w:space="0"/>
              <w:left w:val="outset" w:color="auto" w:sz="6" w:space="0"/>
              <w:bottom w:val="outset" w:color="auto" w:sz="6" w:space="0"/>
              <w:right w:val="outset" w:color="auto" w:sz="6" w:space="0"/>
            </w:tcBorders>
            <w:vAlign w:val="center"/>
          </w:tcPr>
          <w:p w14:paraId="5DC4E93F">
            <w:pPr>
              <w:jc w:val="right"/>
            </w:pPr>
            <w:r>
              <w:t>5,673,207.28</w:t>
            </w:r>
          </w:p>
        </w:tc>
        <w:tc>
          <w:tcPr>
            <w:tcW w:w="1402" w:type="pct"/>
            <w:tcBorders>
              <w:top w:val="outset" w:color="auto" w:sz="6" w:space="0"/>
              <w:left w:val="outset" w:color="auto" w:sz="6" w:space="0"/>
              <w:bottom w:val="outset" w:color="auto" w:sz="6" w:space="0"/>
              <w:right w:val="outset" w:color="auto" w:sz="6" w:space="0"/>
            </w:tcBorders>
            <w:vAlign w:val="center"/>
          </w:tcPr>
          <w:p w14:paraId="66350082">
            <w:pPr>
              <w:jc w:val="right"/>
            </w:pPr>
            <w:r>
              <w:t>44,197,024.41</w:t>
            </w:r>
          </w:p>
        </w:tc>
      </w:tr>
      <w:tr w14:paraId="60510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5C3BF6C">
            <w:pPr>
              <w:ind w:firstLine="420" w:firstLineChars="200"/>
            </w:pPr>
            <w:r>
              <w:rPr>
                <w:rFonts w:hint="eastAsia"/>
              </w:rPr>
              <w:t>流动资产合计</w:t>
            </w:r>
          </w:p>
        </w:tc>
        <w:tc>
          <w:tcPr>
            <w:tcW w:w="1401" w:type="pct"/>
            <w:tcBorders>
              <w:top w:val="outset" w:color="auto" w:sz="6" w:space="0"/>
              <w:left w:val="outset" w:color="auto" w:sz="6" w:space="0"/>
              <w:bottom w:val="outset" w:color="auto" w:sz="6" w:space="0"/>
              <w:right w:val="outset" w:color="auto" w:sz="6" w:space="0"/>
            </w:tcBorders>
            <w:vAlign w:val="center"/>
          </w:tcPr>
          <w:p w14:paraId="619367A7">
            <w:pPr>
              <w:jc w:val="right"/>
            </w:pPr>
            <w:r>
              <w:t>2,973,690,509.63</w:t>
            </w:r>
          </w:p>
        </w:tc>
        <w:tc>
          <w:tcPr>
            <w:tcW w:w="1402" w:type="pct"/>
            <w:tcBorders>
              <w:top w:val="outset" w:color="auto" w:sz="6" w:space="0"/>
              <w:left w:val="outset" w:color="auto" w:sz="6" w:space="0"/>
              <w:bottom w:val="outset" w:color="auto" w:sz="6" w:space="0"/>
              <w:right w:val="outset" w:color="auto" w:sz="6" w:space="0"/>
            </w:tcBorders>
            <w:vAlign w:val="center"/>
          </w:tcPr>
          <w:p w14:paraId="6EFC4E34">
            <w:pPr>
              <w:jc w:val="right"/>
            </w:pPr>
            <w:r>
              <w:t>2,006,316,039.41</w:t>
            </w:r>
          </w:p>
        </w:tc>
      </w:tr>
      <w:tr w14:paraId="66FF4C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90fc6ff36a344c3d8a662e84a4ad4bb5"/>
            <w:id w:val="570315943"/>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1F8FB429">
                <w:pPr>
                  <w:rPr>
                    <w:color w:val="008000"/>
                  </w:rPr>
                </w:pPr>
                <w:r>
                  <w:rPr>
                    <w:rFonts w:hint="eastAsia"/>
                    <w:b/>
                    <w:bCs/>
                  </w:rPr>
                  <w:t>非流动资产：</w:t>
                </w:r>
              </w:p>
            </w:tc>
          </w:sdtContent>
        </w:sdt>
      </w:tr>
      <w:tr w14:paraId="01F05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B1A5EE5">
            <w:pPr>
              <w:ind w:firstLine="210" w:firstLineChars="100"/>
            </w:pPr>
            <w:r>
              <w:rPr>
                <w:rFonts w:hint="eastAsia"/>
              </w:rPr>
              <w:t>发放贷款和垫款</w:t>
            </w:r>
          </w:p>
        </w:tc>
        <w:tc>
          <w:tcPr>
            <w:tcW w:w="1401" w:type="pct"/>
            <w:tcBorders>
              <w:top w:val="outset" w:color="auto" w:sz="6" w:space="0"/>
              <w:left w:val="outset" w:color="auto" w:sz="6" w:space="0"/>
              <w:bottom w:val="outset" w:color="auto" w:sz="6" w:space="0"/>
              <w:right w:val="outset" w:color="auto" w:sz="6" w:space="0"/>
            </w:tcBorders>
          </w:tcPr>
          <w:p w14:paraId="6DB75D64">
            <w:pPr>
              <w:jc w:val="right"/>
            </w:pPr>
          </w:p>
        </w:tc>
        <w:tc>
          <w:tcPr>
            <w:tcW w:w="1402" w:type="pct"/>
            <w:tcBorders>
              <w:top w:val="outset" w:color="auto" w:sz="6" w:space="0"/>
              <w:left w:val="outset" w:color="auto" w:sz="6" w:space="0"/>
              <w:bottom w:val="outset" w:color="auto" w:sz="6" w:space="0"/>
              <w:right w:val="outset" w:color="auto" w:sz="6" w:space="0"/>
            </w:tcBorders>
          </w:tcPr>
          <w:p w14:paraId="2E86BC3E">
            <w:pPr>
              <w:jc w:val="right"/>
            </w:pPr>
          </w:p>
        </w:tc>
      </w:tr>
      <w:tr w14:paraId="2C2B9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BDAA215">
            <w:pPr>
              <w:ind w:firstLine="210" w:firstLineChars="100"/>
            </w:pPr>
            <w:r>
              <w:rPr>
                <w:rFonts w:hint="eastAsia"/>
              </w:rPr>
              <w:t>债权投资</w:t>
            </w:r>
          </w:p>
        </w:tc>
        <w:tc>
          <w:tcPr>
            <w:tcW w:w="1401" w:type="pct"/>
            <w:tcBorders>
              <w:top w:val="outset" w:color="auto" w:sz="6" w:space="0"/>
              <w:left w:val="outset" w:color="auto" w:sz="6" w:space="0"/>
              <w:bottom w:val="outset" w:color="auto" w:sz="6" w:space="0"/>
              <w:right w:val="outset" w:color="auto" w:sz="6" w:space="0"/>
            </w:tcBorders>
          </w:tcPr>
          <w:p w14:paraId="0D88E802">
            <w:pPr>
              <w:jc w:val="right"/>
            </w:pPr>
          </w:p>
        </w:tc>
        <w:tc>
          <w:tcPr>
            <w:tcW w:w="1402" w:type="pct"/>
            <w:tcBorders>
              <w:top w:val="outset" w:color="auto" w:sz="6" w:space="0"/>
              <w:left w:val="outset" w:color="auto" w:sz="6" w:space="0"/>
              <w:bottom w:val="outset" w:color="auto" w:sz="6" w:space="0"/>
              <w:right w:val="outset" w:color="auto" w:sz="6" w:space="0"/>
            </w:tcBorders>
          </w:tcPr>
          <w:p w14:paraId="5839602E">
            <w:pPr>
              <w:jc w:val="right"/>
            </w:pPr>
          </w:p>
        </w:tc>
      </w:tr>
      <w:tr w14:paraId="62959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FECFEB7">
            <w:pPr>
              <w:ind w:firstLine="210" w:firstLineChars="100"/>
            </w:pPr>
            <w:r>
              <w:rPr>
                <w:rFonts w:hint="eastAsia"/>
              </w:rPr>
              <w:t>其他债权投资</w:t>
            </w:r>
          </w:p>
        </w:tc>
        <w:tc>
          <w:tcPr>
            <w:tcW w:w="1401" w:type="pct"/>
            <w:tcBorders>
              <w:top w:val="outset" w:color="auto" w:sz="6" w:space="0"/>
              <w:left w:val="outset" w:color="auto" w:sz="6" w:space="0"/>
              <w:bottom w:val="outset" w:color="auto" w:sz="6" w:space="0"/>
              <w:right w:val="outset" w:color="auto" w:sz="6" w:space="0"/>
            </w:tcBorders>
          </w:tcPr>
          <w:p w14:paraId="61F48580">
            <w:pPr>
              <w:jc w:val="right"/>
            </w:pPr>
          </w:p>
        </w:tc>
        <w:tc>
          <w:tcPr>
            <w:tcW w:w="1402" w:type="pct"/>
            <w:tcBorders>
              <w:top w:val="outset" w:color="auto" w:sz="6" w:space="0"/>
              <w:left w:val="outset" w:color="auto" w:sz="6" w:space="0"/>
              <w:bottom w:val="outset" w:color="auto" w:sz="6" w:space="0"/>
              <w:right w:val="outset" w:color="auto" w:sz="6" w:space="0"/>
            </w:tcBorders>
          </w:tcPr>
          <w:p w14:paraId="7CB2633A">
            <w:pPr>
              <w:jc w:val="right"/>
            </w:pPr>
          </w:p>
        </w:tc>
      </w:tr>
      <w:tr w14:paraId="7389A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10986E7">
            <w:pPr>
              <w:ind w:firstLine="210" w:firstLineChars="100"/>
            </w:pPr>
            <w:r>
              <w:rPr>
                <w:rFonts w:hint="eastAsia"/>
              </w:rPr>
              <w:t>长期应收款</w:t>
            </w:r>
          </w:p>
        </w:tc>
        <w:tc>
          <w:tcPr>
            <w:tcW w:w="1401" w:type="pct"/>
            <w:tcBorders>
              <w:top w:val="outset" w:color="auto" w:sz="6" w:space="0"/>
              <w:left w:val="outset" w:color="auto" w:sz="6" w:space="0"/>
              <w:bottom w:val="outset" w:color="auto" w:sz="6" w:space="0"/>
              <w:right w:val="outset" w:color="auto" w:sz="6" w:space="0"/>
            </w:tcBorders>
          </w:tcPr>
          <w:p w14:paraId="05890CCF">
            <w:pPr>
              <w:jc w:val="right"/>
            </w:pPr>
          </w:p>
        </w:tc>
        <w:tc>
          <w:tcPr>
            <w:tcW w:w="1402" w:type="pct"/>
            <w:tcBorders>
              <w:top w:val="outset" w:color="auto" w:sz="6" w:space="0"/>
              <w:left w:val="outset" w:color="auto" w:sz="6" w:space="0"/>
              <w:bottom w:val="outset" w:color="auto" w:sz="6" w:space="0"/>
              <w:right w:val="outset" w:color="auto" w:sz="6" w:space="0"/>
            </w:tcBorders>
          </w:tcPr>
          <w:p w14:paraId="75BD2036">
            <w:pPr>
              <w:jc w:val="right"/>
            </w:pPr>
          </w:p>
        </w:tc>
      </w:tr>
      <w:tr w14:paraId="2EF7C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3FC34DF">
            <w:pPr>
              <w:ind w:firstLine="210" w:firstLineChars="100"/>
            </w:pPr>
            <w:r>
              <w:rPr>
                <w:rFonts w:hint="eastAsia"/>
              </w:rPr>
              <w:t>长期股权投资</w:t>
            </w:r>
          </w:p>
        </w:tc>
        <w:tc>
          <w:tcPr>
            <w:tcW w:w="1401" w:type="pct"/>
            <w:tcBorders>
              <w:top w:val="outset" w:color="auto" w:sz="6" w:space="0"/>
              <w:left w:val="outset" w:color="auto" w:sz="6" w:space="0"/>
              <w:bottom w:val="outset" w:color="auto" w:sz="6" w:space="0"/>
              <w:right w:val="outset" w:color="auto" w:sz="6" w:space="0"/>
            </w:tcBorders>
            <w:vAlign w:val="center"/>
          </w:tcPr>
          <w:p w14:paraId="7D850A47">
            <w:pPr>
              <w:jc w:val="right"/>
            </w:pPr>
            <w:r>
              <w:t>473,737,041.21</w:t>
            </w:r>
          </w:p>
        </w:tc>
        <w:tc>
          <w:tcPr>
            <w:tcW w:w="1402" w:type="pct"/>
            <w:tcBorders>
              <w:top w:val="outset" w:color="auto" w:sz="6" w:space="0"/>
              <w:left w:val="outset" w:color="auto" w:sz="6" w:space="0"/>
              <w:bottom w:val="outset" w:color="auto" w:sz="6" w:space="0"/>
              <w:right w:val="outset" w:color="auto" w:sz="6" w:space="0"/>
            </w:tcBorders>
            <w:vAlign w:val="center"/>
          </w:tcPr>
          <w:p w14:paraId="73E839A1">
            <w:pPr>
              <w:jc w:val="right"/>
            </w:pPr>
            <w:r>
              <w:t>591,545,639.62</w:t>
            </w:r>
          </w:p>
        </w:tc>
      </w:tr>
      <w:tr w14:paraId="77C8A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3C544F1">
            <w:pPr>
              <w:ind w:firstLine="210" w:firstLineChars="100"/>
            </w:pPr>
            <w:r>
              <w:rPr>
                <w:rFonts w:hint="eastAsia"/>
              </w:rPr>
              <w:t>其他权益工具投资</w:t>
            </w:r>
          </w:p>
        </w:tc>
        <w:tc>
          <w:tcPr>
            <w:tcW w:w="1401" w:type="pct"/>
            <w:tcBorders>
              <w:top w:val="outset" w:color="auto" w:sz="6" w:space="0"/>
              <w:left w:val="outset" w:color="auto" w:sz="6" w:space="0"/>
              <w:bottom w:val="outset" w:color="auto" w:sz="6" w:space="0"/>
              <w:right w:val="outset" w:color="auto" w:sz="6" w:space="0"/>
            </w:tcBorders>
            <w:vAlign w:val="center"/>
          </w:tcPr>
          <w:p w14:paraId="71F2D3C6">
            <w:pPr>
              <w:jc w:val="right"/>
            </w:pPr>
            <w:r>
              <w:t>66,200,000.00</w:t>
            </w:r>
          </w:p>
        </w:tc>
        <w:tc>
          <w:tcPr>
            <w:tcW w:w="1402" w:type="pct"/>
            <w:tcBorders>
              <w:top w:val="outset" w:color="auto" w:sz="6" w:space="0"/>
              <w:left w:val="outset" w:color="auto" w:sz="6" w:space="0"/>
              <w:bottom w:val="outset" w:color="auto" w:sz="6" w:space="0"/>
              <w:right w:val="outset" w:color="auto" w:sz="6" w:space="0"/>
            </w:tcBorders>
            <w:vAlign w:val="center"/>
          </w:tcPr>
          <w:p w14:paraId="0BB34772">
            <w:pPr>
              <w:jc w:val="right"/>
            </w:pPr>
            <w:r>
              <w:t>36,200,000.00</w:t>
            </w:r>
          </w:p>
        </w:tc>
      </w:tr>
      <w:tr w14:paraId="4B65C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779457F">
            <w:pPr>
              <w:ind w:firstLine="210" w:firstLineChars="100"/>
            </w:pPr>
            <w:r>
              <w:rPr>
                <w:rFonts w:hint="eastAsia"/>
              </w:rPr>
              <w:t>其他非流动金融资产</w:t>
            </w:r>
          </w:p>
        </w:tc>
        <w:tc>
          <w:tcPr>
            <w:tcW w:w="1401" w:type="pct"/>
            <w:tcBorders>
              <w:top w:val="outset" w:color="auto" w:sz="6" w:space="0"/>
              <w:left w:val="outset" w:color="auto" w:sz="6" w:space="0"/>
              <w:bottom w:val="outset" w:color="auto" w:sz="6" w:space="0"/>
              <w:right w:val="outset" w:color="auto" w:sz="6" w:space="0"/>
            </w:tcBorders>
          </w:tcPr>
          <w:p w14:paraId="326BF5AD">
            <w:pPr>
              <w:jc w:val="right"/>
            </w:pPr>
          </w:p>
        </w:tc>
        <w:tc>
          <w:tcPr>
            <w:tcW w:w="1402" w:type="pct"/>
            <w:tcBorders>
              <w:top w:val="outset" w:color="auto" w:sz="6" w:space="0"/>
              <w:left w:val="outset" w:color="auto" w:sz="6" w:space="0"/>
              <w:bottom w:val="outset" w:color="auto" w:sz="6" w:space="0"/>
              <w:right w:val="outset" w:color="auto" w:sz="6" w:space="0"/>
            </w:tcBorders>
          </w:tcPr>
          <w:p w14:paraId="72BCADD5">
            <w:pPr>
              <w:jc w:val="right"/>
            </w:pPr>
          </w:p>
        </w:tc>
      </w:tr>
      <w:tr w14:paraId="13E23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AE591DC">
            <w:pPr>
              <w:ind w:firstLine="210" w:firstLineChars="100"/>
            </w:pPr>
            <w:r>
              <w:rPr>
                <w:rFonts w:hint="eastAsia"/>
              </w:rPr>
              <w:t>投资性房地产</w:t>
            </w:r>
          </w:p>
        </w:tc>
        <w:tc>
          <w:tcPr>
            <w:tcW w:w="1401" w:type="pct"/>
            <w:tcBorders>
              <w:top w:val="outset" w:color="auto" w:sz="6" w:space="0"/>
              <w:left w:val="outset" w:color="auto" w:sz="6" w:space="0"/>
              <w:bottom w:val="outset" w:color="auto" w:sz="6" w:space="0"/>
              <w:right w:val="outset" w:color="auto" w:sz="6" w:space="0"/>
            </w:tcBorders>
            <w:vAlign w:val="center"/>
          </w:tcPr>
          <w:p w14:paraId="74196BF3">
            <w:pPr>
              <w:jc w:val="right"/>
            </w:pPr>
            <w:r>
              <w:t>89,222,572.38</w:t>
            </w:r>
          </w:p>
        </w:tc>
        <w:tc>
          <w:tcPr>
            <w:tcW w:w="1402" w:type="pct"/>
            <w:tcBorders>
              <w:top w:val="outset" w:color="auto" w:sz="6" w:space="0"/>
              <w:left w:val="outset" w:color="auto" w:sz="6" w:space="0"/>
              <w:bottom w:val="outset" w:color="auto" w:sz="6" w:space="0"/>
              <w:right w:val="outset" w:color="auto" w:sz="6" w:space="0"/>
            </w:tcBorders>
            <w:vAlign w:val="center"/>
          </w:tcPr>
          <w:p w14:paraId="0E4F50FA">
            <w:pPr>
              <w:jc w:val="right"/>
            </w:pPr>
            <w:r>
              <w:t>96,323,096.12</w:t>
            </w:r>
          </w:p>
        </w:tc>
      </w:tr>
      <w:tr w14:paraId="51E64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89E4A62">
            <w:pPr>
              <w:ind w:firstLine="210" w:firstLineChars="100"/>
            </w:pPr>
            <w:r>
              <w:rPr>
                <w:rFonts w:hint="eastAsia"/>
              </w:rPr>
              <w:t>固定资产</w:t>
            </w:r>
          </w:p>
        </w:tc>
        <w:tc>
          <w:tcPr>
            <w:tcW w:w="1401" w:type="pct"/>
            <w:tcBorders>
              <w:top w:val="outset" w:color="auto" w:sz="6" w:space="0"/>
              <w:left w:val="outset" w:color="auto" w:sz="6" w:space="0"/>
              <w:bottom w:val="outset" w:color="auto" w:sz="6" w:space="0"/>
              <w:right w:val="outset" w:color="auto" w:sz="6" w:space="0"/>
            </w:tcBorders>
            <w:vAlign w:val="center"/>
          </w:tcPr>
          <w:p w14:paraId="1B98812C">
            <w:pPr>
              <w:jc w:val="right"/>
            </w:pPr>
            <w:r>
              <w:t>2,378,977,932.64</w:t>
            </w:r>
          </w:p>
        </w:tc>
        <w:tc>
          <w:tcPr>
            <w:tcW w:w="1402" w:type="pct"/>
            <w:tcBorders>
              <w:top w:val="outset" w:color="auto" w:sz="6" w:space="0"/>
              <w:left w:val="outset" w:color="auto" w:sz="6" w:space="0"/>
              <w:bottom w:val="outset" w:color="auto" w:sz="6" w:space="0"/>
              <w:right w:val="outset" w:color="auto" w:sz="6" w:space="0"/>
            </w:tcBorders>
            <w:vAlign w:val="center"/>
          </w:tcPr>
          <w:p w14:paraId="44A03A38">
            <w:pPr>
              <w:jc w:val="right"/>
            </w:pPr>
            <w:r>
              <w:t>2,482,294,125.72</w:t>
            </w:r>
          </w:p>
        </w:tc>
      </w:tr>
      <w:tr w14:paraId="00380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AAD779D">
            <w:pPr>
              <w:ind w:firstLine="210" w:firstLineChars="100"/>
            </w:pPr>
            <w:r>
              <w:rPr>
                <w:rFonts w:hint="eastAsia"/>
              </w:rPr>
              <w:t>在建工程</w:t>
            </w:r>
          </w:p>
        </w:tc>
        <w:tc>
          <w:tcPr>
            <w:tcW w:w="1401" w:type="pct"/>
            <w:tcBorders>
              <w:top w:val="outset" w:color="auto" w:sz="6" w:space="0"/>
              <w:left w:val="outset" w:color="auto" w:sz="6" w:space="0"/>
              <w:bottom w:val="outset" w:color="auto" w:sz="6" w:space="0"/>
              <w:right w:val="outset" w:color="auto" w:sz="6" w:space="0"/>
            </w:tcBorders>
            <w:vAlign w:val="center"/>
          </w:tcPr>
          <w:p w14:paraId="3BD275F6">
            <w:pPr>
              <w:jc w:val="right"/>
            </w:pPr>
            <w:r>
              <w:t>154,271,921.41</w:t>
            </w:r>
          </w:p>
        </w:tc>
        <w:tc>
          <w:tcPr>
            <w:tcW w:w="1402" w:type="pct"/>
            <w:tcBorders>
              <w:top w:val="outset" w:color="auto" w:sz="6" w:space="0"/>
              <w:left w:val="outset" w:color="auto" w:sz="6" w:space="0"/>
              <w:bottom w:val="outset" w:color="auto" w:sz="6" w:space="0"/>
              <w:right w:val="outset" w:color="auto" w:sz="6" w:space="0"/>
            </w:tcBorders>
            <w:vAlign w:val="center"/>
          </w:tcPr>
          <w:p w14:paraId="1404337D">
            <w:pPr>
              <w:jc w:val="right"/>
            </w:pPr>
            <w:r>
              <w:t>226,112,962.99</w:t>
            </w:r>
          </w:p>
        </w:tc>
      </w:tr>
      <w:tr w14:paraId="58913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FDAC05F">
            <w:pPr>
              <w:ind w:firstLine="210" w:firstLineChars="100"/>
            </w:pPr>
            <w:r>
              <w:rPr>
                <w:rFonts w:hint="eastAsia"/>
              </w:rPr>
              <w:t>生产性生物资产</w:t>
            </w:r>
          </w:p>
        </w:tc>
        <w:tc>
          <w:tcPr>
            <w:tcW w:w="1401" w:type="pct"/>
            <w:tcBorders>
              <w:top w:val="outset" w:color="auto" w:sz="6" w:space="0"/>
              <w:left w:val="outset" w:color="auto" w:sz="6" w:space="0"/>
              <w:bottom w:val="outset" w:color="auto" w:sz="6" w:space="0"/>
              <w:right w:val="outset" w:color="auto" w:sz="6" w:space="0"/>
            </w:tcBorders>
          </w:tcPr>
          <w:p w14:paraId="0612FFDE">
            <w:pPr>
              <w:jc w:val="right"/>
            </w:pPr>
          </w:p>
        </w:tc>
        <w:tc>
          <w:tcPr>
            <w:tcW w:w="1402" w:type="pct"/>
            <w:tcBorders>
              <w:top w:val="outset" w:color="auto" w:sz="6" w:space="0"/>
              <w:left w:val="outset" w:color="auto" w:sz="6" w:space="0"/>
              <w:bottom w:val="outset" w:color="auto" w:sz="6" w:space="0"/>
              <w:right w:val="outset" w:color="auto" w:sz="6" w:space="0"/>
            </w:tcBorders>
          </w:tcPr>
          <w:p w14:paraId="21EE932F">
            <w:pPr>
              <w:jc w:val="right"/>
            </w:pPr>
          </w:p>
        </w:tc>
      </w:tr>
      <w:tr w14:paraId="16955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66B2096">
            <w:pPr>
              <w:ind w:firstLine="210" w:firstLineChars="100"/>
            </w:pPr>
            <w:r>
              <w:rPr>
                <w:rFonts w:hint="eastAsia"/>
              </w:rPr>
              <w:t>油气资产</w:t>
            </w:r>
          </w:p>
        </w:tc>
        <w:tc>
          <w:tcPr>
            <w:tcW w:w="1401" w:type="pct"/>
            <w:tcBorders>
              <w:top w:val="outset" w:color="auto" w:sz="6" w:space="0"/>
              <w:left w:val="outset" w:color="auto" w:sz="6" w:space="0"/>
              <w:bottom w:val="outset" w:color="auto" w:sz="6" w:space="0"/>
              <w:right w:val="outset" w:color="auto" w:sz="6" w:space="0"/>
            </w:tcBorders>
          </w:tcPr>
          <w:p w14:paraId="66CE0DBB">
            <w:pPr>
              <w:jc w:val="right"/>
            </w:pPr>
          </w:p>
        </w:tc>
        <w:tc>
          <w:tcPr>
            <w:tcW w:w="1402" w:type="pct"/>
            <w:tcBorders>
              <w:top w:val="outset" w:color="auto" w:sz="6" w:space="0"/>
              <w:left w:val="outset" w:color="auto" w:sz="6" w:space="0"/>
              <w:bottom w:val="outset" w:color="auto" w:sz="6" w:space="0"/>
              <w:right w:val="outset" w:color="auto" w:sz="6" w:space="0"/>
            </w:tcBorders>
          </w:tcPr>
          <w:p w14:paraId="09F1A6B7">
            <w:pPr>
              <w:jc w:val="right"/>
            </w:pPr>
          </w:p>
        </w:tc>
      </w:tr>
      <w:tr w14:paraId="351E2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B329DFF">
            <w:pPr>
              <w:ind w:firstLine="210" w:firstLineChars="100"/>
            </w:pPr>
            <w:r>
              <w:t>使用权资产</w:t>
            </w:r>
          </w:p>
        </w:tc>
        <w:tc>
          <w:tcPr>
            <w:tcW w:w="1401" w:type="pct"/>
            <w:tcBorders>
              <w:top w:val="outset" w:color="auto" w:sz="6" w:space="0"/>
              <w:left w:val="outset" w:color="auto" w:sz="6" w:space="0"/>
              <w:bottom w:val="outset" w:color="auto" w:sz="6" w:space="0"/>
              <w:right w:val="outset" w:color="auto" w:sz="6" w:space="0"/>
            </w:tcBorders>
            <w:vAlign w:val="center"/>
          </w:tcPr>
          <w:p w14:paraId="5FE42D2E">
            <w:pPr>
              <w:jc w:val="right"/>
            </w:pPr>
            <w:r>
              <w:t>28,971,915.72</w:t>
            </w:r>
          </w:p>
        </w:tc>
        <w:tc>
          <w:tcPr>
            <w:tcW w:w="1402" w:type="pct"/>
            <w:tcBorders>
              <w:top w:val="outset" w:color="auto" w:sz="6" w:space="0"/>
              <w:left w:val="outset" w:color="auto" w:sz="6" w:space="0"/>
              <w:bottom w:val="outset" w:color="auto" w:sz="6" w:space="0"/>
              <w:right w:val="outset" w:color="auto" w:sz="6" w:space="0"/>
            </w:tcBorders>
            <w:vAlign w:val="center"/>
          </w:tcPr>
          <w:p w14:paraId="4FA62D21">
            <w:pPr>
              <w:jc w:val="right"/>
            </w:pPr>
            <w:r>
              <w:t>23,680,025.11</w:t>
            </w:r>
          </w:p>
        </w:tc>
      </w:tr>
      <w:tr w14:paraId="554C9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10A4417">
            <w:pPr>
              <w:ind w:firstLine="210" w:firstLineChars="100"/>
            </w:pPr>
            <w:r>
              <w:rPr>
                <w:rFonts w:hint="eastAsia"/>
              </w:rPr>
              <w:t>无形资产</w:t>
            </w:r>
          </w:p>
        </w:tc>
        <w:tc>
          <w:tcPr>
            <w:tcW w:w="1401" w:type="pct"/>
            <w:tcBorders>
              <w:top w:val="outset" w:color="auto" w:sz="6" w:space="0"/>
              <w:left w:val="outset" w:color="auto" w:sz="6" w:space="0"/>
              <w:bottom w:val="outset" w:color="auto" w:sz="6" w:space="0"/>
              <w:right w:val="outset" w:color="auto" w:sz="6" w:space="0"/>
            </w:tcBorders>
            <w:vAlign w:val="center"/>
          </w:tcPr>
          <w:p w14:paraId="61E313C0">
            <w:pPr>
              <w:jc w:val="right"/>
            </w:pPr>
            <w:r>
              <w:t>594,064,778.29</w:t>
            </w:r>
          </w:p>
        </w:tc>
        <w:tc>
          <w:tcPr>
            <w:tcW w:w="1402" w:type="pct"/>
            <w:tcBorders>
              <w:top w:val="outset" w:color="auto" w:sz="6" w:space="0"/>
              <w:left w:val="outset" w:color="auto" w:sz="6" w:space="0"/>
              <w:bottom w:val="outset" w:color="auto" w:sz="6" w:space="0"/>
              <w:right w:val="outset" w:color="auto" w:sz="6" w:space="0"/>
            </w:tcBorders>
            <w:vAlign w:val="center"/>
          </w:tcPr>
          <w:p w14:paraId="5F798E15">
            <w:pPr>
              <w:jc w:val="right"/>
            </w:pPr>
            <w:r>
              <w:t>628,054,648.39</w:t>
            </w:r>
          </w:p>
        </w:tc>
      </w:tr>
      <w:tr w14:paraId="19489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5C7117F">
            <w:pPr>
              <w:ind w:firstLine="210" w:firstLineChars="100"/>
            </w:pPr>
            <w:r>
              <w:rPr>
                <w:rFonts w:hint="eastAsia"/>
              </w:rPr>
              <w:t>其中：数据资源</w:t>
            </w:r>
          </w:p>
        </w:tc>
        <w:tc>
          <w:tcPr>
            <w:tcW w:w="1401" w:type="pct"/>
            <w:tcBorders>
              <w:top w:val="outset" w:color="auto" w:sz="6" w:space="0"/>
              <w:left w:val="outset" w:color="auto" w:sz="6" w:space="0"/>
              <w:bottom w:val="outset" w:color="auto" w:sz="6" w:space="0"/>
              <w:right w:val="outset" w:color="auto" w:sz="6" w:space="0"/>
            </w:tcBorders>
          </w:tcPr>
          <w:p w14:paraId="70F728D3">
            <w:pPr>
              <w:jc w:val="right"/>
            </w:pPr>
          </w:p>
        </w:tc>
        <w:tc>
          <w:tcPr>
            <w:tcW w:w="1402" w:type="pct"/>
            <w:tcBorders>
              <w:top w:val="outset" w:color="auto" w:sz="6" w:space="0"/>
              <w:left w:val="outset" w:color="auto" w:sz="6" w:space="0"/>
              <w:bottom w:val="outset" w:color="auto" w:sz="6" w:space="0"/>
              <w:right w:val="outset" w:color="auto" w:sz="6" w:space="0"/>
            </w:tcBorders>
          </w:tcPr>
          <w:p w14:paraId="54E611E0">
            <w:pPr>
              <w:jc w:val="right"/>
            </w:pPr>
          </w:p>
        </w:tc>
      </w:tr>
      <w:tr w14:paraId="55986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09CCC50">
            <w:pPr>
              <w:ind w:firstLine="210" w:firstLineChars="100"/>
            </w:pPr>
            <w:r>
              <w:rPr>
                <w:rFonts w:hint="eastAsia"/>
              </w:rPr>
              <w:t>开发支出</w:t>
            </w:r>
          </w:p>
        </w:tc>
        <w:tc>
          <w:tcPr>
            <w:tcW w:w="1401" w:type="pct"/>
            <w:tcBorders>
              <w:top w:val="outset" w:color="auto" w:sz="6" w:space="0"/>
              <w:left w:val="outset" w:color="auto" w:sz="6" w:space="0"/>
              <w:bottom w:val="outset" w:color="auto" w:sz="6" w:space="0"/>
              <w:right w:val="outset" w:color="auto" w:sz="6" w:space="0"/>
            </w:tcBorders>
            <w:vAlign w:val="center"/>
          </w:tcPr>
          <w:p w14:paraId="6A56C6FE">
            <w:pPr>
              <w:jc w:val="right"/>
            </w:pPr>
            <w:r>
              <w:t>1,093,484,071.74</w:t>
            </w:r>
          </w:p>
        </w:tc>
        <w:tc>
          <w:tcPr>
            <w:tcW w:w="1402" w:type="pct"/>
            <w:tcBorders>
              <w:top w:val="outset" w:color="auto" w:sz="6" w:space="0"/>
              <w:left w:val="outset" w:color="auto" w:sz="6" w:space="0"/>
              <w:bottom w:val="outset" w:color="auto" w:sz="6" w:space="0"/>
              <w:right w:val="outset" w:color="auto" w:sz="6" w:space="0"/>
            </w:tcBorders>
            <w:vAlign w:val="center"/>
          </w:tcPr>
          <w:p w14:paraId="1E1CE561">
            <w:pPr>
              <w:jc w:val="right"/>
            </w:pPr>
            <w:r>
              <w:t>947,716,585.16</w:t>
            </w:r>
          </w:p>
        </w:tc>
      </w:tr>
      <w:tr w14:paraId="3C2F9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359DB4A">
            <w:pPr>
              <w:ind w:firstLine="210" w:firstLineChars="100"/>
            </w:pPr>
            <w:r>
              <w:rPr>
                <w:rFonts w:hint="eastAsia"/>
              </w:rPr>
              <w:t>其中：数据资源</w:t>
            </w:r>
          </w:p>
        </w:tc>
        <w:tc>
          <w:tcPr>
            <w:tcW w:w="1401" w:type="pct"/>
            <w:tcBorders>
              <w:top w:val="outset" w:color="auto" w:sz="6" w:space="0"/>
              <w:left w:val="outset" w:color="auto" w:sz="6" w:space="0"/>
              <w:bottom w:val="outset" w:color="auto" w:sz="6" w:space="0"/>
              <w:right w:val="outset" w:color="auto" w:sz="6" w:space="0"/>
            </w:tcBorders>
          </w:tcPr>
          <w:p w14:paraId="393E900F">
            <w:pPr>
              <w:jc w:val="right"/>
            </w:pPr>
          </w:p>
        </w:tc>
        <w:tc>
          <w:tcPr>
            <w:tcW w:w="1402" w:type="pct"/>
            <w:tcBorders>
              <w:top w:val="outset" w:color="auto" w:sz="6" w:space="0"/>
              <w:left w:val="outset" w:color="auto" w:sz="6" w:space="0"/>
              <w:bottom w:val="outset" w:color="auto" w:sz="6" w:space="0"/>
              <w:right w:val="outset" w:color="auto" w:sz="6" w:space="0"/>
            </w:tcBorders>
          </w:tcPr>
          <w:p w14:paraId="302951B0">
            <w:pPr>
              <w:jc w:val="right"/>
            </w:pPr>
          </w:p>
        </w:tc>
      </w:tr>
      <w:tr w14:paraId="217C7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8A58E6C">
            <w:pPr>
              <w:ind w:firstLine="210" w:firstLineChars="100"/>
            </w:pPr>
            <w:r>
              <w:rPr>
                <w:rFonts w:hint="eastAsia"/>
              </w:rPr>
              <w:t>商誉</w:t>
            </w:r>
          </w:p>
        </w:tc>
        <w:tc>
          <w:tcPr>
            <w:tcW w:w="1401" w:type="pct"/>
            <w:tcBorders>
              <w:top w:val="outset" w:color="auto" w:sz="6" w:space="0"/>
              <w:left w:val="outset" w:color="auto" w:sz="6" w:space="0"/>
              <w:bottom w:val="outset" w:color="auto" w:sz="6" w:space="0"/>
              <w:right w:val="outset" w:color="auto" w:sz="6" w:space="0"/>
            </w:tcBorders>
          </w:tcPr>
          <w:p w14:paraId="52556A2C">
            <w:pPr>
              <w:jc w:val="right"/>
            </w:pPr>
          </w:p>
        </w:tc>
        <w:tc>
          <w:tcPr>
            <w:tcW w:w="1402" w:type="pct"/>
            <w:tcBorders>
              <w:top w:val="outset" w:color="auto" w:sz="6" w:space="0"/>
              <w:left w:val="outset" w:color="auto" w:sz="6" w:space="0"/>
              <w:bottom w:val="outset" w:color="auto" w:sz="6" w:space="0"/>
              <w:right w:val="outset" w:color="auto" w:sz="6" w:space="0"/>
            </w:tcBorders>
          </w:tcPr>
          <w:p w14:paraId="31D708E1">
            <w:pPr>
              <w:jc w:val="right"/>
            </w:pPr>
          </w:p>
        </w:tc>
      </w:tr>
      <w:tr w14:paraId="21141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E53FFD2">
            <w:pPr>
              <w:ind w:firstLine="210" w:firstLineChars="100"/>
            </w:pPr>
            <w:r>
              <w:rPr>
                <w:rFonts w:hint="eastAsia"/>
              </w:rPr>
              <w:t>长期待摊费用</w:t>
            </w:r>
          </w:p>
        </w:tc>
        <w:tc>
          <w:tcPr>
            <w:tcW w:w="1401" w:type="pct"/>
            <w:tcBorders>
              <w:top w:val="outset" w:color="auto" w:sz="6" w:space="0"/>
              <w:left w:val="outset" w:color="auto" w:sz="6" w:space="0"/>
              <w:bottom w:val="outset" w:color="auto" w:sz="6" w:space="0"/>
              <w:right w:val="outset" w:color="auto" w:sz="6" w:space="0"/>
            </w:tcBorders>
            <w:vAlign w:val="center"/>
          </w:tcPr>
          <w:p w14:paraId="3789DFB3">
            <w:pPr>
              <w:jc w:val="right"/>
            </w:pPr>
            <w:r>
              <w:t>29,191,184.12</w:t>
            </w:r>
          </w:p>
        </w:tc>
        <w:tc>
          <w:tcPr>
            <w:tcW w:w="1402" w:type="pct"/>
            <w:tcBorders>
              <w:top w:val="outset" w:color="auto" w:sz="6" w:space="0"/>
              <w:left w:val="outset" w:color="auto" w:sz="6" w:space="0"/>
              <w:bottom w:val="outset" w:color="auto" w:sz="6" w:space="0"/>
              <w:right w:val="outset" w:color="auto" w:sz="6" w:space="0"/>
            </w:tcBorders>
            <w:vAlign w:val="center"/>
          </w:tcPr>
          <w:p w14:paraId="3F57A9A6">
            <w:pPr>
              <w:jc w:val="right"/>
            </w:pPr>
            <w:r>
              <w:t>25,676,912.56</w:t>
            </w:r>
          </w:p>
        </w:tc>
      </w:tr>
      <w:tr w14:paraId="546D1C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A523342">
            <w:pPr>
              <w:ind w:firstLine="210" w:firstLineChars="100"/>
            </w:pPr>
            <w:r>
              <w:rPr>
                <w:rFonts w:hint="eastAsia"/>
              </w:rPr>
              <w:t>递延所得税资产</w:t>
            </w:r>
          </w:p>
        </w:tc>
        <w:tc>
          <w:tcPr>
            <w:tcW w:w="1401" w:type="pct"/>
            <w:tcBorders>
              <w:top w:val="outset" w:color="auto" w:sz="6" w:space="0"/>
              <w:left w:val="outset" w:color="auto" w:sz="6" w:space="0"/>
              <w:bottom w:val="outset" w:color="auto" w:sz="6" w:space="0"/>
              <w:right w:val="outset" w:color="auto" w:sz="6" w:space="0"/>
            </w:tcBorders>
            <w:vAlign w:val="center"/>
          </w:tcPr>
          <w:p w14:paraId="5E851A1B">
            <w:pPr>
              <w:jc w:val="right"/>
            </w:pPr>
            <w:r>
              <w:t>80,917,924.02</w:t>
            </w:r>
          </w:p>
        </w:tc>
        <w:tc>
          <w:tcPr>
            <w:tcW w:w="1402" w:type="pct"/>
            <w:tcBorders>
              <w:top w:val="outset" w:color="auto" w:sz="6" w:space="0"/>
              <w:left w:val="outset" w:color="auto" w:sz="6" w:space="0"/>
              <w:bottom w:val="outset" w:color="auto" w:sz="6" w:space="0"/>
              <w:right w:val="outset" w:color="auto" w:sz="6" w:space="0"/>
            </w:tcBorders>
            <w:vAlign w:val="center"/>
          </w:tcPr>
          <w:p w14:paraId="33476151">
            <w:pPr>
              <w:jc w:val="right"/>
            </w:pPr>
            <w:r>
              <w:t>142,910,830.12</w:t>
            </w:r>
          </w:p>
        </w:tc>
      </w:tr>
      <w:tr w14:paraId="6F249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8E3481A">
            <w:pPr>
              <w:ind w:firstLine="210" w:firstLineChars="100"/>
            </w:pPr>
            <w:r>
              <w:rPr>
                <w:rFonts w:hint="eastAsia"/>
              </w:rPr>
              <w:t>其他非流动资产</w:t>
            </w:r>
          </w:p>
        </w:tc>
        <w:tc>
          <w:tcPr>
            <w:tcW w:w="1401" w:type="pct"/>
            <w:tcBorders>
              <w:top w:val="outset" w:color="auto" w:sz="6" w:space="0"/>
              <w:left w:val="outset" w:color="auto" w:sz="6" w:space="0"/>
              <w:bottom w:val="outset" w:color="auto" w:sz="6" w:space="0"/>
              <w:right w:val="outset" w:color="auto" w:sz="6" w:space="0"/>
            </w:tcBorders>
            <w:vAlign w:val="center"/>
          </w:tcPr>
          <w:p w14:paraId="42520C00">
            <w:pPr>
              <w:jc w:val="right"/>
            </w:pPr>
            <w:r>
              <w:t>191,543,601.20</w:t>
            </w:r>
          </w:p>
        </w:tc>
        <w:tc>
          <w:tcPr>
            <w:tcW w:w="1402" w:type="pct"/>
            <w:tcBorders>
              <w:top w:val="outset" w:color="auto" w:sz="6" w:space="0"/>
              <w:left w:val="outset" w:color="auto" w:sz="6" w:space="0"/>
              <w:bottom w:val="outset" w:color="auto" w:sz="6" w:space="0"/>
              <w:right w:val="outset" w:color="auto" w:sz="6" w:space="0"/>
            </w:tcBorders>
            <w:vAlign w:val="center"/>
          </w:tcPr>
          <w:p w14:paraId="60A32DE5">
            <w:pPr>
              <w:jc w:val="right"/>
            </w:pPr>
            <w:r>
              <w:t>171,679,804.49</w:t>
            </w:r>
          </w:p>
        </w:tc>
      </w:tr>
      <w:tr w14:paraId="530F6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9FAB545">
            <w:pPr>
              <w:ind w:firstLine="420" w:firstLineChars="200"/>
            </w:pPr>
            <w:r>
              <w:rPr>
                <w:rFonts w:hint="eastAsia"/>
              </w:rPr>
              <w:t>非流动资产合计</w:t>
            </w:r>
          </w:p>
        </w:tc>
        <w:tc>
          <w:tcPr>
            <w:tcW w:w="1401" w:type="pct"/>
            <w:tcBorders>
              <w:top w:val="outset" w:color="auto" w:sz="6" w:space="0"/>
              <w:left w:val="outset" w:color="auto" w:sz="6" w:space="0"/>
              <w:bottom w:val="outset" w:color="auto" w:sz="6" w:space="0"/>
              <w:right w:val="outset" w:color="auto" w:sz="6" w:space="0"/>
            </w:tcBorders>
            <w:vAlign w:val="center"/>
          </w:tcPr>
          <w:p w14:paraId="52090B61">
            <w:pPr>
              <w:jc w:val="right"/>
            </w:pPr>
            <w:r>
              <w:t>5,180,582,942.73</w:t>
            </w:r>
          </w:p>
        </w:tc>
        <w:tc>
          <w:tcPr>
            <w:tcW w:w="1402" w:type="pct"/>
            <w:tcBorders>
              <w:top w:val="outset" w:color="auto" w:sz="6" w:space="0"/>
              <w:left w:val="outset" w:color="auto" w:sz="6" w:space="0"/>
              <w:bottom w:val="outset" w:color="auto" w:sz="6" w:space="0"/>
              <w:right w:val="outset" w:color="auto" w:sz="6" w:space="0"/>
            </w:tcBorders>
            <w:vAlign w:val="center"/>
          </w:tcPr>
          <w:p w14:paraId="400676FC">
            <w:pPr>
              <w:jc w:val="right"/>
            </w:pPr>
            <w:r>
              <w:t>5,372,194,630.28</w:t>
            </w:r>
          </w:p>
        </w:tc>
      </w:tr>
      <w:tr w14:paraId="78565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0E9BA13">
            <w:pPr>
              <w:ind w:firstLine="630" w:firstLineChars="300"/>
            </w:pPr>
            <w:r>
              <w:rPr>
                <w:rFonts w:hint="eastAsia"/>
              </w:rPr>
              <w:t>资产总计</w:t>
            </w:r>
          </w:p>
        </w:tc>
        <w:tc>
          <w:tcPr>
            <w:tcW w:w="1401" w:type="pct"/>
            <w:tcBorders>
              <w:top w:val="outset" w:color="auto" w:sz="6" w:space="0"/>
              <w:left w:val="outset" w:color="auto" w:sz="6" w:space="0"/>
              <w:bottom w:val="outset" w:color="auto" w:sz="6" w:space="0"/>
              <w:right w:val="outset" w:color="auto" w:sz="6" w:space="0"/>
            </w:tcBorders>
            <w:vAlign w:val="center"/>
          </w:tcPr>
          <w:p w14:paraId="71942E8F">
            <w:pPr>
              <w:jc w:val="right"/>
            </w:pPr>
            <w:r>
              <w:t>8,154,273,452.36</w:t>
            </w:r>
          </w:p>
        </w:tc>
        <w:tc>
          <w:tcPr>
            <w:tcW w:w="1402" w:type="pct"/>
            <w:tcBorders>
              <w:top w:val="outset" w:color="auto" w:sz="6" w:space="0"/>
              <w:left w:val="outset" w:color="auto" w:sz="6" w:space="0"/>
              <w:bottom w:val="outset" w:color="auto" w:sz="6" w:space="0"/>
              <w:right w:val="outset" w:color="auto" w:sz="6" w:space="0"/>
            </w:tcBorders>
            <w:vAlign w:val="center"/>
          </w:tcPr>
          <w:p w14:paraId="5CCB24F9">
            <w:pPr>
              <w:jc w:val="right"/>
            </w:pPr>
            <w:r>
              <w:t>7,378,510,669.69</w:t>
            </w:r>
          </w:p>
        </w:tc>
      </w:tr>
      <w:tr w14:paraId="7B5CA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80d27cb0d91a466f90b8a82f016a8876"/>
            <w:id w:val="-256454081"/>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242A0709">
                <w:pPr>
                  <w:rPr>
                    <w:color w:val="FF00FF"/>
                  </w:rPr>
                </w:pPr>
                <w:r>
                  <w:rPr>
                    <w:rFonts w:hint="eastAsia"/>
                    <w:b/>
                    <w:bCs/>
                  </w:rPr>
                  <w:t>流动负债：</w:t>
                </w:r>
              </w:p>
            </w:tc>
          </w:sdtContent>
        </w:sdt>
      </w:tr>
      <w:tr w14:paraId="12E69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DA024BF">
            <w:pPr>
              <w:ind w:firstLine="210" w:firstLineChars="100"/>
            </w:pPr>
            <w:r>
              <w:rPr>
                <w:rFonts w:hint="eastAsia"/>
              </w:rPr>
              <w:t>短期借款</w:t>
            </w:r>
          </w:p>
        </w:tc>
        <w:tc>
          <w:tcPr>
            <w:tcW w:w="1401" w:type="pct"/>
            <w:tcBorders>
              <w:top w:val="outset" w:color="auto" w:sz="6" w:space="0"/>
              <w:left w:val="outset" w:color="auto" w:sz="6" w:space="0"/>
              <w:bottom w:val="outset" w:color="auto" w:sz="6" w:space="0"/>
              <w:right w:val="outset" w:color="auto" w:sz="6" w:space="0"/>
            </w:tcBorders>
            <w:vAlign w:val="center"/>
          </w:tcPr>
          <w:p w14:paraId="73AE73BF">
            <w:pPr>
              <w:jc w:val="right"/>
            </w:pPr>
            <w:r>
              <w:t>441,810,000.00</w:t>
            </w:r>
          </w:p>
        </w:tc>
        <w:tc>
          <w:tcPr>
            <w:tcW w:w="1402" w:type="pct"/>
            <w:tcBorders>
              <w:top w:val="outset" w:color="auto" w:sz="6" w:space="0"/>
              <w:left w:val="outset" w:color="auto" w:sz="6" w:space="0"/>
              <w:bottom w:val="outset" w:color="auto" w:sz="6" w:space="0"/>
              <w:right w:val="outset" w:color="auto" w:sz="6" w:space="0"/>
            </w:tcBorders>
            <w:vAlign w:val="center"/>
          </w:tcPr>
          <w:p w14:paraId="069B67B7">
            <w:pPr>
              <w:jc w:val="right"/>
            </w:pPr>
            <w:r>
              <w:t>416,758,991.22</w:t>
            </w:r>
          </w:p>
        </w:tc>
      </w:tr>
      <w:tr w14:paraId="77726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4648889">
            <w:pPr>
              <w:ind w:firstLine="210" w:firstLineChars="100"/>
            </w:pPr>
            <w:r>
              <w:rPr>
                <w:rFonts w:hint="eastAsia"/>
              </w:rPr>
              <w:t>向中央银行借款</w:t>
            </w:r>
          </w:p>
        </w:tc>
        <w:tc>
          <w:tcPr>
            <w:tcW w:w="1401" w:type="pct"/>
            <w:tcBorders>
              <w:top w:val="outset" w:color="auto" w:sz="6" w:space="0"/>
              <w:left w:val="outset" w:color="auto" w:sz="6" w:space="0"/>
              <w:bottom w:val="outset" w:color="auto" w:sz="6" w:space="0"/>
              <w:right w:val="outset" w:color="auto" w:sz="6" w:space="0"/>
            </w:tcBorders>
          </w:tcPr>
          <w:p w14:paraId="0FD6BB60">
            <w:pPr>
              <w:jc w:val="right"/>
            </w:pPr>
          </w:p>
        </w:tc>
        <w:tc>
          <w:tcPr>
            <w:tcW w:w="1402" w:type="pct"/>
            <w:tcBorders>
              <w:top w:val="outset" w:color="auto" w:sz="6" w:space="0"/>
              <w:left w:val="outset" w:color="auto" w:sz="6" w:space="0"/>
              <w:bottom w:val="outset" w:color="auto" w:sz="6" w:space="0"/>
              <w:right w:val="outset" w:color="auto" w:sz="6" w:space="0"/>
            </w:tcBorders>
          </w:tcPr>
          <w:p w14:paraId="3BDF0FEB">
            <w:pPr>
              <w:jc w:val="right"/>
            </w:pPr>
          </w:p>
        </w:tc>
      </w:tr>
      <w:tr w14:paraId="4CD08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BD1851E">
            <w:pPr>
              <w:ind w:firstLine="210" w:firstLineChars="100"/>
            </w:pPr>
            <w:r>
              <w:rPr>
                <w:rFonts w:hint="eastAsia"/>
              </w:rPr>
              <w:t>拆入资金</w:t>
            </w:r>
          </w:p>
        </w:tc>
        <w:tc>
          <w:tcPr>
            <w:tcW w:w="1401" w:type="pct"/>
            <w:tcBorders>
              <w:top w:val="outset" w:color="auto" w:sz="6" w:space="0"/>
              <w:left w:val="outset" w:color="auto" w:sz="6" w:space="0"/>
              <w:bottom w:val="outset" w:color="auto" w:sz="6" w:space="0"/>
              <w:right w:val="outset" w:color="auto" w:sz="6" w:space="0"/>
            </w:tcBorders>
          </w:tcPr>
          <w:p w14:paraId="2FECD319">
            <w:pPr>
              <w:jc w:val="right"/>
            </w:pPr>
          </w:p>
        </w:tc>
        <w:tc>
          <w:tcPr>
            <w:tcW w:w="1402" w:type="pct"/>
            <w:tcBorders>
              <w:top w:val="outset" w:color="auto" w:sz="6" w:space="0"/>
              <w:left w:val="outset" w:color="auto" w:sz="6" w:space="0"/>
              <w:bottom w:val="outset" w:color="auto" w:sz="6" w:space="0"/>
              <w:right w:val="outset" w:color="auto" w:sz="6" w:space="0"/>
            </w:tcBorders>
          </w:tcPr>
          <w:p w14:paraId="2B6B4205">
            <w:pPr>
              <w:jc w:val="right"/>
            </w:pPr>
          </w:p>
        </w:tc>
      </w:tr>
      <w:tr w14:paraId="1C2EC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8028E1B">
            <w:pPr>
              <w:ind w:firstLine="210" w:firstLineChars="100"/>
            </w:pPr>
            <w:r>
              <w:rPr>
                <w:rFonts w:hint="eastAsia"/>
              </w:rPr>
              <w:t>交易性金融负债</w:t>
            </w:r>
          </w:p>
        </w:tc>
        <w:tc>
          <w:tcPr>
            <w:tcW w:w="1401" w:type="pct"/>
            <w:tcBorders>
              <w:top w:val="outset" w:color="auto" w:sz="6" w:space="0"/>
              <w:left w:val="outset" w:color="auto" w:sz="6" w:space="0"/>
              <w:bottom w:val="outset" w:color="auto" w:sz="6" w:space="0"/>
              <w:right w:val="outset" w:color="auto" w:sz="6" w:space="0"/>
            </w:tcBorders>
          </w:tcPr>
          <w:p w14:paraId="1512A0E4">
            <w:pPr>
              <w:jc w:val="right"/>
            </w:pPr>
          </w:p>
        </w:tc>
        <w:tc>
          <w:tcPr>
            <w:tcW w:w="1402" w:type="pct"/>
            <w:tcBorders>
              <w:top w:val="outset" w:color="auto" w:sz="6" w:space="0"/>
              <w:left w:val="outset" w:color="auto" w:sz="6" w:space="0"/>
              <w:bottom w:val="outset" w:color="auto" w:sz="6" w:space="0"/>
              <w:right w:val="outset" w:color="auto" w:sz="6" w:space="0"/>
            </w:tcBorders>
          </w:tcPr>
          <w:p w14:paraId="06B300B5">
            <w:pPr>
              <w:jc w:val="right"/>
            </w:pPr>
          </w:p>
        </w:tc>
      </w:tr>
      <w:tr w14:paraId="379F0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91D0A9E">
            <w:pPr>
              <w:ind w:firstLine="210" w:firstLineChars="100"/>
            </w:pPr>
            <w:r>
              <w:rPr>
                <w:rFonts w:hint="eastAsia"/>
              </w:rPr>
              <w:t>衍生金融负债</w:t>
            </w:r>
          </w:p>
        </w:tc>
        <w:tc>
          <w:tcPr>
            <w:tcW w:w="1401" w:type="pct"/>
            <w:tcBorders>
              <w:top w:val="outset" w:color="auto" w:sz="6" w:space="0"/>
              <w:left w:val="outset" w:color="auto" w:sz="6" w:space="0"/>
              <w:bottom w:val="outset" w:color="auto" w:sz="6" w:space="0"/>
              <w:right w:val="outset" w:color="auto" w:sz="6" w:space="0"/>
            </w:tcBorders>
          </w:tcPr>
          <w:p w14:paraId="7A2D299C">
            <w:pPr>
              <w:jc w:val="right"/>
            </w:pPr>
          </w:p>
        </w:tc>
        <w:tc>
          <w:tcPr>
            <w:tcW w:w="1402" w:type="pct"/>
            <w:tcBorders>
              <w:top w:val="outset" w:color="auto" w:sz="6" w:space="0"/>
              <w:left w:val="outset" w:color="auto" w:sz="6" w:space="0"/>
              <w:bottom w:val="outset" w:color="auto" w:sz="6" w:space="0"/>
              <w:right w:val="outset" w:color="auto" w:sz="6" w:space="0"/>
            </w:tcBorders>
          </w:tcPr>
          <w:p w14:paraId="31A23A30">
            <w:pPr>
              <w:jc w:val="right"/>
            </w:pPr>
          </w:p>
        </w:tc>
      </w:tr>
      <w:tr w14:paraId="427A1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B0E22AC">
            <w:pPr>
              <w:ind w:firstLine="210" w:firstLineChars="100"/>
            </w:pPr>
            <w:r>
              <w:t>应付票据</w:t>
            </w:r>
          </w:p>
        </w:tc>
        <w:tc>
          <w:tcPr>
            <w:tcW w:w="1401" w:type="pct"/>
            <w:tcBorders>
              <w:top w:val="outset" w:color="auto" w:sz="6" w:space="0"/>
              <w:left w:val="outset" w:color="auto" w:sz="6" w:space="0"/>
              <w:bottom w:val="outset" w:color="auto" w:sz="6" w:space="0"/>
              <w:right w:val="outset" w:color="auto" w:sz="6" w:space="0"/>
            </w:tcBorders>
            <w:vAlign w:val="center"/>
          </w:tcPr>
          <w:p w14:paraId="1855233D">
            <w:pPr>
              <w:jc w:val="right"/>
            </w:pPr>
            <w:r>
              <w:t>3,330,165.14</w:t>
            </w:r>
          </w:p>
        </w:tc>
        <w:tc>
          <w:tcPr>
            <w:tcW w:w="1402" w:type="pct"/>
            <w:tcBorders>
              <w:top w:val="outset" w:color="auto" w:sz="6" w:space="0"/>
              <w:left w:val="outset" w:color="auto" w:sz="6" w:space="0"/>
              <w:bottom w:val="outset" w:color="auto" w:sz="6" w:space="0"/>
              <w:right w:val="outset" w:color="auto" w:sz="6" w:space="0"/>
            </w:tcBorders>
            <w:vAlign w:val="center"/>
          </w:tcPr>
          <w:p w14:paraId="15358D4A">
            <w:pPr>
              <w:jc w:val="right"/>
            </w:pPr>
            <w:r>
              <w:t>10,000.00</w:t>
            </w:r>
          </w:p>
        </w:tc>
      </w:tr>
      <w:tr w14:paraId="134A0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0D96FD2">
            <w:pPr>
              <w:ind w:firstLine="210" w:firstLineChars="100"/>
            </w:pPr>
            <w:r>
              <w:t>应付账款</w:t>
            </w:r>
          </w:p>
        </w:tc>
        <w:tc>
          <w:tcPr>
            <w:tcW w:w="1401" w:type="pct"/>
            <w:tcBorders>
              <w:top w:val="outset" w:color="auto" w:sz="6" w:space="0"/>
              <w:left w:val="outset" w:color="auto" w:sz="6" w:space="0"/>
              <w:bottom w:val="outset" w:color="auto" w:sz="6" w:space="0"/>
              <w:right w:val="outset" w:color="auto" w:sz="6" w:space="0"/>
            </w:tcBorders>
            <w:vAlign w:val="center"/>
          </w:tcPr>
          <w:p w14:paraId="10A3B923">
            <w:pPr>
              <w:jc w:val="right"/>
            </w:pPr>
            <w:r>
              <w:t>88,217,625.24</w:t>
            </w:r>
          </w:p>
        </w:tc>
        <w:tc>
          <w:tcPr>
            <w:tcW w:w="1402" w:type="pct"/>
            <w:tcBorders>
              <w:top w:val="outset" w:color="auto" w:sz="6" w:space="0"/>
              <w:left w:val="outset" w:color="auto" w:sz="6" w:space="0"/>
              <w:bottom w:val="outset" w:color="auto" w:sz="6" w:space="0"/>
              <w:right w:val="outset" w:color="auto" w:sz="6" w:space="0"/>
            </w:tcBorders>
            <w:vAlign w:val="center"/>
          </w:tcPr>
          <w:p w14:paraId="74023221">
            <w:pPr>
              <w:jc w:val="right"/>
            </w:pPr>
            <w:r>
              <w:t>96,613,678.14</w:t>
            </w:r>
          </w:p>
        </w:tc>
      </w:tr>
      <w:tr w14:paraId="36C26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92BE363">
            <w:pPr>
              <w:ind w:firstLine="210" w:firstLineChars="100"/>
            </w:pPr>
            <w:r>
              <w:rPr>
                <w:rFonts w:hint="eastAsia"/>
              </w:rPr>
              <w:t>预收款项</w:t>
            </w:r>
          </w:p>
        </w:tc>
        <w:tc>
          <w:tcPr>
            <w:tcW w:w="1401" w:type="pct"/>
            <w:tcBorders>
              <w:top w:val="outset" w:color="auto" w:sz="6" w:space="0"/>
              <w:left w:val="outset" w:color="auto" w:sz="6" w:space="0"/>
              <w:bottom w:val="outset" w:color="auto" w:sz="6" w:space="0"/>
              <w:right w:val="outset" w:color="auto" w:sz="6" w:space="0"/>
            </w:tcBorders>
            <w:vAlign w:val="center"/>
          </w:tcPr>
          <w:p w14:paraId="43BF0529">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14:paraId="1235D894">
            <w:pPr>
              <w:jc w:val="right"/>
            </w:pPr>
            <w:r>
              <w:t>1,712,014.13</w:t>
            </w:r>
          </w:p>
        </w:tc>
      </w:tr>
      <w:tr w14:paraId="0AA62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A2B4295">
            <w:pPr>
              <w:ind w:firstLine="210" w:firstLineChars="100"/>
            </w:pPr>
            <w:r>
              <w:rPr>
                <w:rFonts w:hint="eastAsia"/>
              </w:rPr>
              <w:t>合同负债</w:t>
            </w:r>
          </w:p>
        </w:tc>
        <w:tc>
          <w:tcPr>
            <w:tcW w:w="1401" w:type="pct"/>
            <w:tcBorders>
              <w:top w:val="outset" w:color="auto" w:sz="6" w:space="0"/>
              <w:left w:val="outset" w:color="auto" w:sz="6" w:space="0"/>
              <w:bottom w:val="outset" w:color="auto" w:sz="6" w:space="0"/>
              <w:right w:val="outset" w:color="auto" w:sz="6" w:space="0"/>
            </w:tcBorders>
            <w:vAlign w:val="center"/>
          </w:tcPr>
          <w:p w14:paraId="48A62233">
            <w:pPr>
              <w:jc w:val="right"/>
            </w:pPr>
            <w:r>
              <w:t>5,814,619.63</w:t>
            </w:r>
          </w:p>
        </w:tc>
        <w:tc>
          <w:tcPr>
            <w:tcW w:w="1402" w:type="pct"/>
            <w:tcBorders>
              <w:top w:val="outset" w:color="auto" w:sz="6" w:space="0"/>
              <w:left w:val="outset" w:color="auto" w:sz="6" w:space="0"/>
              <w:bottom w:val="outset" w:color="auto" w:sz="6" w:space="0"/>
              <w:right w:val="outset" w:color="auto" w:sz="6" w:space="0"/>
            </w:tcBorders>
            <w:vAlign w:val="center"/>
          </w:tcPr>
          <w:p w14:paraId="287AD0BA">
            <w:pPr>
              <w:jc w:val="right"/>
            </w:pPr>
            <w:r>
              <w:t>14,359,574.01</w:t>
            </w:r>
          </w:p>
        </w:tc>
      </w:tr>
      <w:tr w14:paraId="2320A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419A3D5">
            <w:pPr>
              <w:ind w:firstLine="210" w:firstLineChars="100"/>
            </w:pPr>
            <w:r>
              <w:rPr>
                <w:rFonts w:hint="eastAsia"/>
              </w:rPr>
              <w:t>卖出回购金融资产款</w:t>
            </w:r>
          </w:p>
        </w:tc>
        <w:tc>
          <w:tcPr>
            <w:tcW w:w="1401" w:type="pct"/>
            <w:tcBorders>
              <w:top w:val="outset" w:color="auto" w:sz="6" w:space="0"/>
              <w:left w:val="outset" w:color="auto" w:sz="6" w:space="0"/>
              <w:bottom w:val="outset" w:color="auto" w:sz="6" w:space="0"/>
              <w:right w:val="outset" w:color="auto" w:sz="6" w:space="0"/>
            </w:tcBorders>
          </w:tcPr>
          <w:p w14:paraId="06AEF0C2">
            <w:pPr>
              <w:jc w:val="right"/>
            </w:pPr>
          </w:p>
        </w:tc>
        <w:tc>
          <w:tcPr>
            <w:tcW w:w="1402" w:type="pct"/>
            <w:tcBorders>
              <w:top w:val="outset" w:color="auto" w:sz="6" w:space="0"/>
              <w:left w:val="outset" w:color="auto" w:sz="6" w:space="0"/>
              <w:bottom w:val="outset" w:color="auto" w:sz="6" w:space="0"/>
              <w:right w:val="outset" w:color="auto" w:sz="6" w:space="0"/>
            </w:tcBorders>
          </w:tcPr>
          <w:p w14:paraId="0056F5CF">
            <w:pPr>
              <w:jc w:val="right"/>
            </w:pPr>
          </w:p>
        </w:tc>
      </w:tr>
      <w:tr w14:paraId="4E57B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62FF9AC">
            <w:pPr>
              <w:ind w:firstLine="210" w:firstLineChars="100"/>
            </w:pPr>
            <w:r>
              <w:rPr>
                <w:rFonts w:hint="eastAsia"/>
              </w:rPr>
              <w:t>吸收存款及同业存放</w:t>
            </w:r>
          </w:p>
        </w:tc>
        <w:tc>
          <w:tcPr>
            <w:tcW w:w="1401" w:type="pct"/>
            <w:tcBorders>
              <w:top w:val="outset" w:color="auto" w:sz="6" w:space="0"/>
              <w:left w:val="outset" w:color="auto" w:sz="6" w:space="0"/>
              <w:bottom w:val="outset" w:color="auto" w:sz="6" w:space="0"/>
              <w:right w:val="outset" w:color="auto" w:sz="6" w:space="0"/>
            </w:tcBorders>
          </w:tcPr>
          <w:p w14:paraId="698A1758">
            <w:pPr>
              <w:jc w:val="right"/>
            </w:pPr>
          </w:p>
        </w:tc>
        <w:tc>
          <w:tcPr>
            <w:tcW w:w="1402" w:type="pct"/>
            <w:tcBorders>
              <w:top w:val="outset" w:color="auto" w:sz="6" w:space="0"/>
              <w:left w:val="outset" w:color="auto" w:sz="6" w:space="0"/>
              <w:bottom w:val="outset" w:color="auto" w:sz="6" w:space="0"/>
              <w:right w:val="outset" w:color="auto" w:sz="6" w:space="0"/>
            </w:tcBorders>
          </w:tcPr>
          <w:p w14:paraId="71AE7F54">
            <w:pPr>
              <w:jc w:val="right"/>
            </w:pPr>
          </w:p>
        </w:tc>
      </w:tr>
      <w:tr w14:paraId="5EF1D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6FDF3B3">
            <w:pPr>
              <w:ind w:firstLine="210" w:firstLineChars="100"/>
            </w:pPr>
            <w:r>
              <w:rPr>
                <w:rFonts w:hint="eastAsia"/>
              </w:rPr>
              <w:t>代理买卖证券款</w:t>
            </w:r>
          </w:p>
        </w:tc>
        <w:tc>
          <w:tcPr>
            <w:tcW w:w="1401" w:type="pct"/>
            <w:tcBorders>
              <w:top w:val="outset" w:color="auto" w:sz="6" w:space="0"/>
              <w:left w:val="outset" w:color="auto" w:sz="6" w:space="0"/>
              <w:bottom w:val="outset" w:color="auto" w:sz="6" w:space="0"/>
              <w:right w:val="outset" w:color="auto" w:sz="6" w:space="0"/>
            </w:tcBorders>
          </w:tcPr>
          <w:p w14:paraId="277AD36D">
            <w:pPr>
              <w:jc w:val="right"/>
            </w:pPr>
          </w:p>
        </w:tc>
        <w:tc>
          <w:tcPr>
            <w:tcW w:w="1402" w:type="pct"/>
            <w:tcBorders>
              <w:top w:val="outset" w:color="auto" w:sz="6" w:space="0"/>
              <w:left w:val="outset" w:color="auto" w:sz="6" w:space="0"/>
              <w:bottom w:val="outset" w:color="auto" w:sz="6" w:space="0"/>
              <w:right w:val="outset" w:color="auto" w:sz="6" w:space="0"/>
            </w:tcBorders>
          </w:tcPr>
          <w:p w14:paraId="2E0DB552">
            <w:pPr>
              <w:jc w:val="right"/>
            </w:pPr>
          </w:p>
        </w:tc>
      </w:tr>
      <w:tr w14:paraId="593BF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DFFC722">
            <w:pPr>
              <w:ind w:firstLine="210" w:firstLineChars="100"/>
            </w:pPr>
            <w:r>
              <w:rPr>
                <w:rFonts w:hint="eastAsia"/>
              </w:rPr>
              <w:t>代理承销证券款</w:t>
            </w:r>
          </w:p>
        </w:tc>
        <w:tc>
          <w:tcPr>
            <w:tcW w:w="1401" w:type="pct"/>
            <w:tcBorders>
              <w:top w:val="outset" w:color="auto" w:sz="6" w:space="0"/>
              <w:left w:val="outset" w:color="auto" w:sz="6" w:space="0"/>
              <w:bottom w:val="outset" w:color="auto" w:sz="6" w:space="0"/>
              <w:right w:val="outset" w:color="auto" w:sz="6" w:space="0"/>
            </w:tcBorders>
          </w:tcPr>
          <w:p w14:paraId="5887722A">
            <w:pPr>
              <w:jc w:val="right"/>
            </w:pPr>
          </w:p>
        </w:tc>
        <w:tc>
          <w:tcPr>
            <w:tcW w:w="1402" w:type="pct"/>
            <w:tcBorders>
              <w:top w:val="outset" w:color="auto" w:sz="6" w:space="0"/>
              <w:left w:val="outset" w:color="auto" w:sz="6" w:space="0"/>
              <w:bottom w:val="outset" w:color="auto" w:sz="6" w:space="0"/>
              <w:right w:val="outset" w:color="auto" w:sz="6" w:space="0"/>
            </w:tcBorders>
          </w:tcPr>
          <w:p w14:paraId="5F339730">
            <w:pPr>
              <w:jc w:val="right"/>
            </w:pPr>
          </w:p>
        </w:tc>
      </w:tr>
      <w:tr w14:paraId="04500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C5108B1">
            <w:pPr>
              <w:ind w:firstLine="210" w:firstLineChars="100"/>
            </w:pPr>
            <w:r>
              <w:rPr>
                <w:rFonts w:hint="eastAsia"/>
              </w:rPr>
              <w:t>应付职工薪酬</w:t>
            </w:r>
          </w:p>
        </w:tc>
        <w:tc>
          <w:tcPr>
            <w:tcW w:w="1401" w:type="pct"/>
            <w:tcBorders>
              <w:top w:val="outset" w:color="auto" w:sz="6" w:space="0"/>
              <w:left w:val="outset" w:color="auto" w:sz="6" w:space="0"/>
              <w:bottom w:val="outset" w:color="auto" w:sz="6" w:space="0"/>
              <w:right w:val="outset" w:color="auto" w:sz="6" w:space="0"/>
            </w:tcBorders>
            <w:vAlign w:val="center"/>
          </w:tcPr>
          <w:p w14:paraId="7BC764FC">
            <w:pPr>
              <w:jc w:val="right"/>
            </w:pPr>
            <w:r>
              <w:t>4,525,174.36</w:t>
            </w:r>
          </w:p>
        </w:tc>
        <w:tc>
          <w:tcPr>
            <w:tcW w:w="1402" w:type="pct"/>
            <w:tcBorders>
              <w:top w:val="outset" w:color="auto" w:sz="6" w:space="0"/>
              <w:left w:val="outset" w:color="auto" w:sz="6" w:space="0"/>
              <w:bottom w:val="outset" w:color="auto" w:sz="6" w:space="0"/>
              <w:right w:val="outset" w:color="auto" w:sz="6" w:space="0"/>
            </w:tcBorders>
            <w:vAlign w:val="center"/>
          </w:tcPr>
          <w:p w14:paraId="2B7A0CF6">
            <w:pPr>
              <w:jc w:val="right"/>
            </w:pPr>
            <w:r>
              <w:t>2,100,396.28</w:t>
            </w:r>
          </w:p>
        </w:tc>
      </w:tr>
      <w:tr w14:paraId="78702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CE1423E">
            <w:pPr>
              <w:ind w:firstLine="210" w:firstLineChars="100"/>
            </w:pPr>
            <w:r>
              <w:rPr>
                <w:rFonts w:hint="eastAsia"/>
              </w:rPr>
              <w:t>应交税费</w:t>
            </w:r>
          </w:p>
        </w:tc>
        <w:tc>
          <w:tcPr>
            <w:tcW w:w="1401" w:type="pct"/>
            <w:tcBorders>
              <w:top w:val="outset" w:color="auto" w:sz="6" w:space="0"/>
              <w:left w:val="outset" w:color="auto" w:sz="6" w:space="0"/>
              <w:bottom w:val="outset" w:color="auto" w:sz="6" w:space="0"/>
              <w:right w:val="outset" w:color="auto" w:sz="6" w:space="0"/>
            </w:tcBorders>
            <w:vAlign w:val="center"/>
          </w:tcPr>
          <w:p w14:paraId="38B6FF0B">
            <w:pPr>
              <w:jc w:val="right"/>
            </w:pPr>
            <w:r>
              <w:t>44,985,483.42</w:t>
            </w:r>
          </w:p>
        </w:tc>
        <w:tc>
          <w:tcPr>
            <w:tcW w:w="1402" w:type="pct"/>
            <w:tcBorders>
              <w:top w:val="outset" w:color="auto" w:sz="6" w:space="0"/>
              <w:left w:val="outset" w:color="auto" w:sz="6" w:space="0"/>
              <w:bottom w:val="outset" w:color="auto" w:sz="6" w:space="0"/>
              <w:right w:val="outset" w:color="auto" w:sz="6" w:space="0"/>
            </w:tcBorders>
            <w:vAlign w:val="center"/>
          </w:tcPr>
          <w:p w14:paraId="5F631D83">
            <w:pPr>
              <w:jc w:val="right"/>
            </w:pPr>
            <w:r>
              <w:t>53,100,372.10</w:t>
            </w:r>
          </w:p>
        </w:tc>
      </w:tr>
      <w:tr w14:paraId="455CA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18586AA">
            <w:pPr>
              <w:ind w:firstLine="210" w:firstLineChars="100"/>
            </w:pPr>
            <w:r>
              <w:rPr>
                <w:rFonts w:hint="eastAsia"/>
              </w:rPr>
              <w:t>其他应付款</w:t>
            </w:r>
          </w:p>
        </w:tc>
        <w:tc>
          <w:tcPr>
            <w:tcW w:w="1401" w:type="pct"/>
            <w:tcBorders>
              <w:top w:val="outset" w:color="auto" w:sz="6" w:space="0"/>
              <w:left w:val="outset" w:color="auto" w:sz="6" w:space="0"/>
              <w:bottom w:val="outset" w:color="auto" w:sz="6" w:space="0"/>
              <w:right w:val="outset" w:color="auto" w:sz="6" w:space="0"/>
            </w:tcBorders>
            <w:vAlign w:val="center"/>
          </w:tcPr>
          <w:p w14:paraId="7A8BDB88">
            <w:pPr>
              <w:jc w:val="right"/>
            </w:pPr>
            <w:r>
              <w:t>44,914,735.65</w:t>
            </w:r>
          </w:p>
        </w:tc>
        <w:tc>
          <w:tcPr>
            <w:tcW w:w="1402" w:type="pct"/>
            <w:tcBorders>
              <w:top w:val="outset" w:color="auto" w:sz="6" w:space="0"/>
              <w:left w:val="outset" w:color="auto" w:sz="6" w:space="0"/>
              <w:bottom w:val="outset" w:color="auto" w:sz="6" w:space="0"/>
              <w:right w:val="outset" w:color="auto" w:sz="6" w:space="0"/>
            </w:tcBorders>
            <w:vAlign w:val="center"/>
          </w:tcPr>
          <w:p w14:paraId="6271DDF3">
            <w:pPr>
              <w:jc w:val="right"/>
            </w:pPr>
            <w:r>
              <w:t>73,752,723.17</w:t>
            </w:r>
          </w:p>
        </w:tc>
      </w:tr>
      <w:tr w14:paraId="64DCC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F8F50AC">
            <w:pPr>
              <w:ind w:firstLine="210" w:firstLineChars="100"/>
            </w:pPr>
            <w:r>
              <w:rPr>
                <w:rFonts w:hint="eastAsia"/>
              </w:rPr>
              <w:t>其中：应付利息</w:t>
            </w:r>
          </w:p>
        </w:tc>
        <w:tc>
          <w:tcPr>
            <w:tcW w:w="1401" w:type="pct"/>
            <w:tcBorders>
              <w:top w:val="outset" w:color="auto" w:sz="6" w:space="0"/>
              <w:left w:val="outset" w:color="auto" w:sz="6" w:space="0"/>
              <w:bottom w:val="outset" w:color="auto" w:sz="6" w:space="0"/>
              <w:right w:val="outset" w:color="auto" w:sz="6" w:space="0"/>
            </w:tcBorders>
          </w:tcPr>
          <w:p w14:paraId="08167F53">
            <w:pPr>
              <w:jc w:val="right"/>
            </w:pPr>
          </w:p>
        </w:tc>
        <w:tc>
          <w:tcPr>
            <w:tcW w:w="1402" w:type="pct"/>
            <w:tcBorders>
              <w:top w:val="outset" w:color="auto" w:sz="6" w:space="0"/>
              <w:left w:val="outset" w:color="auto" w:sz="6" w:space="0"/>
              <w:bottom w:val="outset" w:color="auto" w:sz="6" w:space="0"/>
              <w:right w:val="outset" w:color="auto" w:sz="6" w:space="0"/>
            </w:tcBorders>
          </w:tcPr>
          <w:p w14:paraId="621F4667">
            <w:pPr>
              <w:jc w:val="right"/>
            </w:pPr>
          </w:p>
        </w:tc>
      </w:tr>
      <w:tr w14:paraId="3569C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3D3A09E">
            <w:pPr>
              <w:ind w:firstLine="840" w:firstLineChars="400"/>
            </w:pPr>
            <w:r>
              <w:rPr>
                <w:rFonts w:hint="eastAsia"/>
              </w:rPr>
              <w:t>应付股利</w:t>
            </w:r>
          </w:p>
        </w:tc>
        <w:tc>
          <w:tcPr>
            <w:tcW w:w="1401" w:type="pct"/>
            <w:tcBorders>
              <w:top w:val="outset" w:color="auto" w:sz="6" w:space="0"/>
              <w:left w:val="outset" w:color="auto" w:sz="6" w:space="0"/>
              <w:bottom w:val="outset" w:color="auto" w:sz="6" w:space="0"/>
              <w:right w:val="outset" w:color="auto" w:sz="6" w:space="0"/>
            </w:tcBorders>
          </w:tcPr>
          <w:p w14:paraId="68C57422">
            <w:pPr>
              <w:jc w:val="right"/>
            </w:pPr>
          </w:p>
        </w:tc>
        <w:tc>
          <w:tcPr>
            <w:tcW w:w="1402" w:type="pct"/>
            <w:tcBorders>
              <w:top w:val="outset" w:color="auto" w:sz="6" w:space="0"/>
              <w:left w:val="outset" w:color="auto" w:sz="6" w:space="0"/>
              <w:bottom w:val="outset" w:color="auto" w:sz="6" w:space="0"/>
              <w:right w:val="outset" w:color="auto" w:sz="6" w:space="0"/>
            </w:tcBorders>
          </w:tcPr>
          <w:p w14:paraId="7A053907">
            <w:pPr>
              <w:jc w:val="right"/>
            </w:pPr>
          </w:p>
        </w:tc>
      </w:tr>
      <w:tr w14:paraId="1BB75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6AA7D95">
            <w:pPr>
              <w:ind w:firstLine="210" w:firstLineChars="100"/>
            </w:pPr>
            <w:r>
              <w:rPr>
                <w:rFonts w:hint="eastAsia"/>
              </w:rPr>
              <w:t>应付手续费及佣金</w:t>
            </w:r>
          </w:p>
        </w:tc>
        <w:tc>
          <w:tcPr>
            <w:tcW w:w="1401" w:type="pct"/>
            <w:tcBorders>
              <w:top w:val="outset" w:color="auto" w:sz="6" w:space="0"/>
              <w:left w:val="outset" w:color="auto" w:sz="6" w:space="0"/>
              <w:bottom w:val="outset" w:color="auto" w:sz="6" w:space="0"/>
              <w:right w:val="outset" w:color="auto" w:sz="6" w:space="0"/>
            </w:tcBorders>
          </w:tcPr>
          <w:p w14:paraId="45A080B7">
            <w:pPr>
              <w:jc w:val="right"/>
            </w:pPr>
          </w:p>
        </w:tc>
        <w:tc>
          <w:tcPr>
            <w:tcW w:w="1402" w:type="pct"/>
            <w:tcBorders>
              <w:top w:val="outset" w:color="auto" w:sz="6" w:space="0"/>
              <w:left w:val="outset" w:color="auto" w:sz="6" w:space="0"/>
              <w:bottom w:val="outset" w:color="auto" w:sz="6" w:space="0"/>
              <w:right w:val="outset" w:color="auto" w:sz="6" w:space="0"/>
            </w:tcBorders>
          </w:tcPr>
          <w:p w14:paraId="3976C02D">
            <w:pPr>
              <w:jc w:val="right"/>
            </w:pPr>
          </w:p>
        </w:tc>
      </w:tr>
      <w:tr w14:paraId="36F05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320E238">
            <w:pPr>
              <w:ind w:firstLine="210" w:firstLineChars="100"/>
            </w:pPr>
            <w:r>
              <w:rPr>
                <w:rFonts w:hint="eastAsia"/>
              </w:rPr>
              <w:t>应付分保账款</w:t>
            </w:r>
          </w:p>
        </w:tc>
        <w:tc>
          <w:tcPr>
            <w:tcW w:w="1401" w:type="pct"/>
            <w:tcBorders>
              <w:top w:val="outset" w:color="auto" w:sz="6" w:space="0"/>
              <w:left w:val="outset" w:color="auto" w:sz="6" w:space="0"/>
              <w:bottom w:val="outset" w:color="auto" w:sz="6" w:space="0"/>
              <w:right w:val="outset" w:color="auto" w:sz="6" w:space="0"/>
            </w:tcBorders>
          </w:tcPr>
          <w:p w14:paraId="7F937A92">
            <w:pPr>
              <w:jc w:val="right"/>
            </w:pPr>
          </w:p>
        </w:tc>
        <w:tc>
          <w:tcPr>
            <w:tcW w:w="1402" w:type="pct"/>
            <w:tcBorders>
              <w:top w:val="outset" w:color="auto" w:sz="6" w:space="0"/>
              <w:left w:val="outset" w:color="auto" w:sz="6" w:space="0"/>
              <w:bottom w:val="outset" w:color="auto" w:sz="6" w:space="0"/>
              <w:right w:val="outset" w:color="auto" w:sz="6" w:space="0"/>
            </w:tcBorders>
          </w:tcPr>
          <w:p w14:paraId="57D23962">
            <w:pPr>
              <w:jc w:val="right"/>
            </w:pPr>
          </w:p>
        </w:tc>
      </w:tr>
      <w:tr w14:paraId="521D3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D865976">
            <w:pPr>
              <w:ind w:firstLine="210" w:firstLineChars="100"/>
            </w:pPr>
            <w:r>
              <w:rPr>
                <w:rFonts w:hint="eastAsia"/>
              </w:rPr>
              <w:t>持有待售负债</w:t>
            </w:r>
          </w:p>
        </w:tc>
        <w:tc>
          <w:tcPr>
            <w:tcW w:w="1401" w:type="pct"/>
            <w:tcBorders>
              <w:top w:val="outset" w:color="auto" w:sz="6" w:space="0"/>
              <w:left w:val="outset" w:color="auto" w:sz="6" w:space="0"/>
              <w:bottom w:val="outset" w:color="auto" w:sz="6" w:space="0"/>
              <w:right w:val="outset" w:color="auto" w:sz="6" w:space="0"/>
            </w:tcBorders>
          </w:tcPr>
          <w:p w14:paraId="6622C654">
            <w:pPr>
              <w:jc w:val="right"/>
            </w:pPr>
          </w:p>
        </w:tc>
        <w:tc>
          <w:tcPr>
            <w:tcW w:w="1402" w:type="pct"/>
            <w:tcBorders>
              <w:top w:val="outset" w:color="auto" w:sz="6" w:space="0"/>
              <w:left w:val="outset" w:color="auto" w:sz="6" w:space="0"/>
              <w:bottom w:val="outset" w:color="auto" w:sz="6" w:space="0"/>
              <w:right w:val="outset" w:color="auto" w:sz="6" w:space="0"/>
            </w:tcBorders>
          </w:tcPr>
          <w:p w14:paraId="5F1F62C6">
            <w:pPr>
              <w:jc w:val="right"/>
            </w:pPr>
          </w:p>
        </w:tc>
      </w:tr>
      <w:tr w14:paraId="631C8E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53E38DF">
            <w:pPr>
              <w:ind w:firstLine="210" w:firstLineChars="100"/>
            </w:pPr>
            <w:r>
              <w:rPr>
                <w:rFonts w:hint="eastAsia"/>
              </w:rPr>
              <w:t>一年内到期的非流动负债</w:t>
            </w:r>
          </w:p>
        </w:tc>
        <w:tc>
          <w:tcPr>
            <w:tcW w:w="1401" w:type="pct"/>
            <w:tcBorders>
              <w:top w:val="outset" w:color="auto" w:sz="6" w:space="0"/>
              <w:left w:val="outset" w:color="auto" w:sz="6" w:space="0"/>
              <w:bottom w:val="outset" w:color="auto" w:sz="6" w:space="0"/>
              <w:right w:val="outset" w:color="auto" w:sz="6" w:space="0"/>
            </w:tcBorders>
            <w:vAlign w:val="center"/>
          </w:tcPr>
          <w:p w14:paraId="7F18A756">
            <w:pPr>
              <w:jc w:val="right"/>
            </w:pPr>
            <w:r>
              <w:t>6,534,161.28</w:t>
            </w:r>
          </w:p>
        </w:tc>
        <w:tc>
          <w:tcPr>
            <w:tcW w:w="1402" w:type="pct"/>
            <w:tcBorders>
              <w:top w:val="outset" w:color="auto" w:sz="6" w:space="0"/>
              <w:left w:val="outset" w:color="auto" w:sz="6" w:space="0"/>
              <w:bottom w:val="outset" w:color="auto" w:sz="6" w:space="0"/>
              <w:right w:val="outset" w:color="auto" w:sz="6" w:space="0"/>
            </w:tcBorders>
            <w:vAlign w:val="center"/>
          </w:tcPr>
          <w:p w14:paraId="6FD896C2">
            <w:pPr>
              <w:jc w:val="right"/>
            </w:pPr>
            <w:r>
              <w:t>4,396,642.54</w:t>
            </w:r>
          </w:p>
        </w:tc>
      </w:tr>
      <w:tr w14:paraId="29D48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9A2380F">
            <w:pPr>
              <w:ind w:firstLine="210" w:firstLineChars="100"/>
            </w:pPr>
            <w:r>
              <w:rPr>
                <w:rFonts w:hint="eastAsia"/>
              </w:rPr>
              <w:t>其他流动负债</w:t>
            </w:r>
          </w:p>
        </w:tc>
        <w:tc>
          <w:tcPr>
            <w:tcW w:w="1401" w:type="pct"/>
            <w:tcBorders>
              <w:top w:val="outset" w:color="auto" w:sz="6" w:space="0"/>
              <w:left w:val="outset" w:color="auto" w:sz="6" w:space="0"/>
              <w:bottom w:val="outset" w:color="auto" w:sz="6" w:space="0"/>
              <w:right w:val="outset" w:color="auto" w:sz="6" w:space="0"/>
            </w:tcBorders>
            <w:vAlign w:val="center"/>
          </w:tcPr>
          <w:p w14:paraId="3F4D8DFC">
            <w:pPr>
              <w:jc w:val="right"/>
            </w:pPr>
            <w:r>
              <w:t>176,384.87</w:t>
            </w:r>
          </w:p>
        </w:tc>
        <w:tc>
          <w:tcPr>
            <w:tcW w:w="1402" w:type="pct"/>
            <w:tcBorders>
              <w:top w:val="outset" w:color="auto" w:sz="6" w:space="0"/>
              <w:left w:val="outset" w:color="auto" w:sz="6" w:space="0"/>
              <w:bottom w:val="outset" w:color="auto" w:sz="6" w:space="0"/>
              <w:right w:val="outset" w:color="auto" w:sz="6" w:space="0"/>
            </w:tcBorders>
            <w:vAlign w:val="center"/>
          </w:tcPr>
          <w:p w14:paraId="1D4CE406">
            <w:pPr>
              <w:jc w:val="right"/>
            </w:pPr>
            <w:r>
              <w:t>2,638,442.65</w:t>
            </w:r>
          </w:p>
        </w:tc>
      </w:tr>
      <w:tr w14:paraId="3DECB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A5C3FB4">
            <w:pPr>
              <w:ind w:firstLine="420" w:firstLineChars="200"/>
            </w:pPr>
            <w:r>
              <w:rPr>
                <w:rFonts w:hint="eastAsia"/>
              </w:rPr>
              <w:t>流动负债合计</w:t>
            </w:r>
          </w:p>
        </w:tc>
        <w:tc>
          <w:tcPr>
            <w:tcW w:w="1401" w:type="pct"/>
            <w:tcBorders>
              <w:top w:val="outset" w:color="auto" w:sz="6" w:space="0"/>
              <w:left w:val="outset" w:color="auto" w:sz="6" w:space="0"/>
              <w:bottom w:val="outset" w:color="auto" w:sz="6" w:space="0"/>
              <w:right w:val="outset" w:color="auto" w:sz="6" w:space="0"/>
            </w:tcBorders>
          </w:tcPr>
          <w:p w14:paraId="2004C871">
            <w:pPr>
              <w:jc w:val="right"/>
            </w:pPr>
            <w:r>
              <w:t>640,308,349.59</w:t>
            </w:r>
          </w:p>
        </w:tc>
        <w:tc>
          <w:tcPr>
            <w:tcW w:w="1402" w:type="pct"/>
            <w:tcBorders>
              <w:top w:val="outset" w:color="auto" w:sz="6" w:space="0"/>
              <w:left w:val="outset" w:color="auto" w:sz="6" w:space="0"/>
              <w:bottom w:val="outset" w:color="auto" w:sz="6" w:space="0"/>
              <w:right w:val="outset" w:color="auto" w:sz="6" w:space="0"/>
            </w:tcBorders>
          </w:tcPr>
          <w:p w14:paraId="728A47AD">
            <w:pPr>
              <w:jc w:val="right"/>
            </w:pPr>
            <w:r>
              <w:t>665,442,834.24</w:t>
            </w:r>
          </w:p>
        </w:tc>
      </w:tr>
      <w:tr w14:paraId="610B4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e51481cf4e4040fda36466e6495a2710"/>
            <w:id w:val="793482267"/>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3CB40406">
                <w:pPr>
                  <w:rPr>
                    <w:color w:val="008000"/>
                  </w:rPr>
                </w:pPr>
                <w:r>
                  <w:rPr>
                    <w:rFonts w:hint="eastAsia"/>
                    <w:b/>
                    <w:bCs/>
                  </w:rPr>
                  <w:t>非流动负债：</w:t>
                </w:r>
              </w:p>
            </w:tc>
          </w:sdtContent>
        </w:sdt>
      </w:tr>
      <w:tr w14:paraId="2A744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7B77FE5">
            <w:pPr>
              <w:ind w:firstLine="210" w:firstLineChars="100"/>
            </w:pPr>
            <w:r>
              <w:rPr>
                <w:rFonts w:hint="eastAsia"/>
              </w:rPr>
              <w:t>保险合同准备金</w:t>
            </w:r>
          </w:p>
        </w:tc>
        <w:tc>
          <w:tcPr>
            <w:tcW w:w="1401" w:type="pct"/>
            <w:tcBorders>
              <w:top w:val="outset" w:color="auto" w:sz="6" w:space="0"/>
              <w:left w:val="outset" w:color="auto" w:sz="6" w:space="0"/>
              <w:bottom w:val="outset" w:color="auto" w:sz="6" w:space="0"/>
              <w:right w:val="outset" w:color="auto" w:sz="6" w:space="0"/>
            </w:tcBorders>
          </w:tcPr>
          <w:p w14:paraId="25B2298B">
            <w:pPr>
              <w:jc w:val="right"/>
            </w:pPr>
          </w:p>
        </w:tc>
        <w:tc>
          <w:tcPr>
            <w:tcW w:w="1402" w:type="pct"/>
            <w:tcBorders>
              <w:top w:val="outset" w:color="auto" w:sz="6" w:space="0"/>
              <w:left w:val="outset" w:color="auto" w:sz="6" w:space="0"/>
              <w:bottom w:val="outset" w:color="auto" w:sz="6" w:space="0"/>
              <w:right w:val="outset" w:color="auto" w:sz="6" w:space="0"/>
            </w:tcBorders>
          </w:tcPr>
          <w:p w14:paraId="3EF0798F">
            <w:pPr>
              <w:jc w:val="right"/>
            </w:pPr>
          </w:p>
        </w:tc>
      </w:tr>
      <w:tr w14:paraId="7F519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A0A6F02">
            <w:pPr>
              <w:ind w:firstLine="210" w:firstLineChars="100"/>
            </w:pPr>
            <w:r>
              <w:rPr>
                <w:rFonts w:hint="eastAsia"/>
              </w:rPr>
              <w:t>长期借款</w:t>
            </w:r>
          </w:p>
        </w:tc>
        <w:tc>
          <w:tcPr>
            <w:tcW w:w="1401" w:type="pct"/>
            <w:tcBorders>
              <w:top w:val="outset" w:color="auto" w:sz="6" w:space="0"/>
              <w:left w:val="outset" w:color="auto" w:sz="6" w:space="0"/>
              <w:bottom w:val="outset" w:color="auto" w:sz="6" w:space="0"/>
              <w:right w:val="outset" w:color="auto" w:sz="6" w:space="0"/>
            </w:tcBorders>
            <w:vAlign w:val="center"/>
          </w:tcPr>
          <w:p w14:paraId="0D518688">
            <w:pPr>
              <w:jc w:val="right"/>
            </w:pPr>
            <w:r>
              <w:t>311,290,000.00</w:t>
            </w:r>
          </w:p>
        </w:tc>
        <w:tc>
          <w:tcPr>
            <w:tcW w:w="1402" w:type="pct"/>
            <w:tcBorders>
              <w:top w:val="outset" w:color="auto" w:sz="6" w:space="0"/>
              <w:left w:val="outset" w:color="auto" w:sz="6" w:space="0"/>
              <w:bottom w:val="outset" w:color="auto" w:sz="6" w:space="0"/>
              <w:right w:val="outset" w:color="auto" w:sz="6" w:space="0"/>
            </w:tcBorders>
            <w:vAlign w:val="center"/>
          </w:tcPr>
          <w:p w14:paraId="0BA2CAFA">
            <w:pPr>
              <w:jc w:val="right"/>
            </w:pPr>
            <w:r>
              <w:t>253,490,000.00</w:t>
            </w:r>
          </w:p>
        </w:tc>
      </w:tr>
      <w:tr w14:paraId="7B31D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8D31682">
            <w:pPr>
              <w:ind w:firstLine="210" w:firstLineChars="100"/>
            </w:pPr>
            <w:r>
              <w:rPr>
                <w:rFonts w:hint="eastAsia"/>
              </w:rPr>
              <w:t>应付债券</w:t>
            </w:r>
          </w:p>
        </w:tc>
        <w:tc>
          <w:tcPr>
            <w:tcW w:w="1401" w:type="pct"/>
            <w:tcBorders>
              <w:top w:val="outset" w:color="auto" w:sz="6" w:space="0"/>
              <w:left w:val="outset" w:color="auto" w:sz="6" w:space="0"/>
              <w:bottom w:val="outset" w:color="auto" w:sz="6" w:space="0"/>
              <w:right w:val="outset" w:color="auto" w:sz="6" w:space="0"/>
            </w:tcBorders>
          </w:tcPr>
          <w:p w14:paraId="55136FFD">
            <w:pPr>
              <w:jc w:val="right"/>
            </w:pPr>
          </w:p>
        </w:tc>
        <w:tc>
          <w:tcPr>
            <w:tcW w:w="1402" w:type="pct"/>
            <w:tcBorders>
              <w:top w:val="outset" w:color="auto" w:sz="6" w:space="0"/>
              <w:left w:val="outset" w:color="auto" w:sz="6" w:space="0"/>
              <w:bottom w:val="outset" w:color="auto" w:sz="6" w:space="0"/>
              <w:right w:val="outset" w:color="auto" w:sz="6" w:space="0"/>
            </w:tcBorders>
          </w:tcPr>
          <w:p w14:paraId="65BC1300">
            <w:pPr>
              <w:jc w:val="right"/>
            </w:pPr>
          </w:p>
        </w:tc>
      </w:tr>
      <w:tr w14:paraId="2DFF5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2CD7B17">
            <w:pPr>
              <w:ind w:firstLine="210" w:firstLineChars="100"/>
            </w:pPr>
            <w:r>
              <w:rPr>
                <w:rFonts w:hint="eastAsia"/>
              </w:rPr>
              <w:t>其中：优先股</w:t>
            </w:r>
          </w:p>
        </w:tc>
        <w:tc>
          <w:tcPr>
            <w:tcW w:w="1401" w:type="pct"/>
            <w:tcBorders>
              <w:top w:val="outset" w:color="auto" w:sz="6" w:space="0"/>
              <w:left w:val="outset" w:color="auto" w:sz="6" w:space="0"/>
              <w:bottom w:val="outset" w:color="auto" w:sz="6" w:space="0"/>
              <w:right w:val="outset" w:color="auto" w:sz="6" w:space="0"/>
            </w:tcBorders>
          </w:tcPr>
          <w:p w14:paraId="5FF80349">
            <w:pPr>
              <w:jc w:val="right"/>
            </w:pPr>
          </w:p>
        </w:tc>
        <w:tc>
          <w:tcPr>
            <w:tcW w:w="1402" w:type="pct"/>
            <w:tcBorders>
              <w:top w:val="outset" w:color="auto" w:sz="6" w:space="0"/>
              <w:left w:val="outset" w:color="auto" w:sz="6" w:space="0"/>
              <w:bottom w:val="outset" w:color="auto" w:sz="6" w:space="0"/>
              <w:right w:val="outset" w:color="auto" w:sz="6" w:space="0"/>
            </w:tcBorders>
          </w:tcPr>
          <w:p w14:paraId="48A2F0DE">
            <w:pPr>
              <w:jc w:val="right"/>
            </w:pPr>
          </w:p>
        </w:tc>
      </w:tr>
      <w:tr w14:paraId="4CDE4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8AC097A">
            <w:pPr>
              <w:ind w:firstLine="210" w:firstLineChars="100"/>
            </w:pPr>
            <w:r>
              <w:rPr>
                <w:rFonts w:hint="eastAsia"/>
              </w:rPr>
              <w:t>永续债</w:t>
            </w:r>
          </w:p>
        </w:tc>
        <w:tc>
          <w:tcPr>
            <w:tcW w:w="1401" w:type="pct"/>
            <w:tcBorders>
              <w:top w:val="outset" w:color="auto" w:sz="6" w:space="0"/>
              <w:left w:val="outset" w:color="auto" w:sz="6" w:space="0"/>
              <w:bottom w:val="outset" w:color="auto" w:sz="6" w:space="0"/>
              <w:right w:val="outset" w:color="auto" w:sz="6" w:space="0"/>
            </w:tcBorders>
          </w:tcPr>
          <w:p w14:paraId="3AF45C5F">
            <w:pPr>
              <w:jc w:val="right"/>
            </w:pPr>
          </w:p>
        </w:tc>
        <w:tc>
          <w:tcPr>
            <w:tcW w:w="1402" w:type="pct"/>
            <w:tcBorders>
              <w:top w:val="outset" w:color="auto" w:sz="6" w:space="0"/>
              <w:left w:val="outset" w:color="auto" w:sz="6" w:space="0"/>
              <w:bottom w:val="outset" w:color="auto" w:sz="6" w:space="0"/>
              <w:right w:val="outset" w:color="auto" w:sz="6" w:space="0"/>
            </w:tcBorders>
          </w:tcPr>
          <w:p w14:paraId="4B887430">
            <w:pPr>
              <w:jc w:val="right"/>
            </w:pPr>
          </w:p>
        </w:tc>
      </w:tr>
      <w:tr w14:paraId="0A235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5692A35">
            <w:pPr>
              <w:ind w:firstLine="210" w:firstLineChars="100"/>
            </w:pPr>
            <w:r>
              <w:t>租赁负债</w:t>
            </w:r>
          </w:p>
        </w:tc>
        <w:tc>
          <w:tcPr>
            <w:tcW w:w="1401" w:type="pct"/>
            <w:tcBorders>
              <w:top w:val="outset" w:color="auto" w:sz="6" w:space="0"/>
              <w:left w:val="outset" w:color="auto" w:sz="6" w:space="0"/>
              <w:bottom w:val="outset" w:color="auto" w:sz="6" w:space="0"/>
              <w:right w:val="outset" w:color="auto" w:sz="6" w:space="0"/>
            </w:tcBorders>
            <w:vAlign w:val="center"/>
          </w:tcPr>
          <w:p w14:paraId="2E84E109">
            <w:pPr>
              <w:jc w:val="right"/>
            </w:pPr>
            <w:r>
              <w:t>22,682,070.88</w:t>
            </w:r>
          </w:p>
        </w:tc>
        <w:tc>
          <w:tcPr>
            <w:tcW w:w="1402" w:type="pct"/>
            <w:tcBorders>
              <w:top w:val="outset" w:color="auto" w:sz="6" w:space="0"/>
              <w:left w:val="outset" w:color="auto" w:sz="6" w:space="0"/>
              <w:bottom w:val="outset" w:color="auto" w:sz="6" w:space="0"/>
              <w:right w:val="outset" w:color="auto" w:sz="6" w:space="0"/>
            </w:tcBorders>
            <w:vAlign w:val="center"/>
          </w:tcPr>
          <w:p w14:paraId="3AB9EF6F">
            <w:pPr>
              <w:jc w:val="right"/>
            </w:pPr>
            <w:r>
              <w:t>19,502,393.05</w:t>
            </w:r>
          </w:p>
        </w:tc>
      </w:tr>
      <w:tr w14:paraId="0B437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88105D9">
            <w:pPr>
              <w:ind w:firstLine="210" w:firstLineChars="100"/>
            </w:pPr>
            <w:r>
              <w:rPr>
                <w:rFonts w:hint="eastAsia"/>
              </w:rPr>
              <w:t>长期应付款</w:t>
            </w:r>
          </w:p>
        </w:tc>
        <w:tc>
          <w:tcPr>
            <w:tcW w:w="1401" w:type="pct"/>
            <w:tcBorders>
              <w:top w:val="outset" w:color="auto" w:sz="6" w:space="0"/>
              <w:left w:val="outset" w:color="auto" w:sz="6" w:space="0"/>
              <w:bottom w:val="outset" w:color="auto" w:sz="6" w:space="0"/>
              <w:right w:val="outset" w:color="auto" w:sz="6" w:space="0"/>
            </w:tcBorders>
          </w:tcPr>
          <w:p w14:paraId="58C9FA52">
            <w:pPr>
              <w:jc w:val="right"/>
            </w:pPr>
          </w:p>
        </w:tc>
        <w:tc>
          <w:tcPr>
            <w:tcW w:w="1402" w:type="pct"/>
            <w:tcBorders>
              <w:top w:val="outset" w:color="auto" w:sz="6" w:space="0"/>
              <w:left w:val="outset" w:color="auto" w:sz="6" w:space="0"/>
              <w:bottom w:val="outset" w:color="auto" w:sz="6" w:space="0"/>
              <w:right w:val="outset" w:color="auto" w:sz="6" w:space="0"/>
            </w:tcBorders>
          </w:tcPr>
          <w:p w14:paraId="5795073C">
            <w:pPr>
              <w:jc w:val="right"/>
            </w:pPr>
          </w:p>
        </w:tc>
      </w:tr>
      <w:tr w14:paraId="20F30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5E37997">
            <w:pPr>
              <w:ind w:firstLine="210" w:firstLineChars="100"/>
            </w:pPr>
            <w:r>
              <w:rPr>
                <w:rFonts w:hint="eastAsia"/>
              </w:rPr>
              <w:t>长期应付职工薪酬</w:t>
            </w:r>
          </w:p>
        </w:tc>
        <w:tc>
          <w:tcPr>
            <w:tcW w:w="1401" w:type="pct"/>
            <w:tcBorders>
              <w:top w:val="outset" w:color="auto" w:sz="6" w:space="0"/>
              <w:left w:val="outset" w:color="auto" w:sz="6" w:space="0"/>
              <w:bottom w:val="outset" w:color="auto" w:sz="6" w:space="0"/>
              <w:right w:val="outset" w:color="auto" w:sz="6" w:space="0"/>
            </w:tcBorders>
          </w:tcPr>
          <w:p w14:paraId="72BC6F64">
            <w:pPr>
              <w:jc w:val="right"/>
            </w:pPr>
          </w:p>
        </w:tc>
        <w:tc>
          <w:tcPr>
            <w:tcW w:w="1402" w:type="pct"/>
            <w:tcBorders>
              <w:top w:val="outset" w:color="auto" w:sz="6" w:space="0"/>
              <w:left w:val="outset" w:color="auto" w:sz="6" w:space="0"/>
              <w:bottom w:val="outset" w:color="auto" w:sz="6" w:space="0"/>
              <w:right w:val="outset" w:color="auto" w:sz="6" w:space="0"/>
            </w:tcBorders>
          </w:tcPr>
          <w:p w14:paraId="420A51DA">
            <w:pPr>
              <w:jc w:val="right"/>
            </w:pPr>
          </w:p>
        </w:tc>
      </w:tr>
      <w:tr w14:paraId="7B633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5A8F902">
            <w:pPr>
              <w:ind w:firstLine="210" w:firstLineChars="100"/>
            </w:pPr>
            <w:r>
              <w:rPr>
                <w:rFonts w:hint="eastAsia"/>
              </w:rPr>
              <w:t>预计负债</w:t>
            </w:r>
          </w:p>
        </w:tc>
        <w:tc>
          <w:tcPr>
            <w:tcW w:w="1401" w:type="pct"/>
            <w:tcBorders>
              <w:top w:val="outset" w:color="auto" w:sz="6" w:space="0"/>
              <w:left w:val="outset" w:color="auto" w:sz="6" w:space="0"/>
              <w:bottom w:val="outset" w:color="auto" w:sz="6" w:space="0"/>
              <w:right w:val="outset" w:color="auto" w:sz="6" w:space="0"/>
            </w:tcBorders>
          </w:tcPr>
          <w:p w14:paraId="5E659352">
            <w:pPr>
              <w:jc w:val="right"/>
            </w:pPr>
          </w:p>
        </w:tc>
        <w:tc>
          <w:tcPr>
            <w:tcW w:w="1402" w:type="pct"/>
            <w:tcBorders>
              <w:top w:val="outset" w:color="auto" w:sz="6" w:space="0"/>
              <w:left w:val="outset" w:color="auto" w:sz="6" w:space="0"/>
              <w:bottom w:val="outset" w:color="auto" w:sz="6" w:space="0"/>
              <w:right w:val="outset" w:color="auto" w:sz="6" w:space="0"/>
            </w:tcBorders>
          </w:tcPr>
          <w:p w14:paraId="79D1A992">
            <w:pPr>
              <w:jc w:val="right"/>
            </w:pPr>
          </w:p>
        </w:tc>
      </w:tr>
      <w:tr w14:paraId="5F223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96B1734">
            <w:pPr>
              <w:ind w:firstLine="210" w:firstLineChars="100"/>
            </w:pPr>
            <w:r>
              <w:rPr>
                <w:rFonts w:hint="eastAsia"/>
              </w:rPr>
              <w:t>递延收益</w:t>
            </w:r>
          </w:p>
        </w:tc>
        <w:tc>
          <w:tcPr>
            <w:tcW w:w="1401" w:type="pct"/>
            <w:tcBorders>
              <w:top w:val="outset" w:color="auto" w:sz="6" w:space="0"/>
              <w:left w:val="outset" w:color="auto" w:sz="6" w:space="0"/>
              <w:bottom w:val="outset" w:color="auto" w:sz="6" w:space="0"/>
              <w:right w:val="outset" w:color="auto" w:sz="6" w:space="0"/>
            </w:tcBorders>
            <w:vAlign w:val="center"/>
          </w:tcPr>
          <w:p w14:paraId="0C65FC70">
            <w:pPr>
              <w:jc w:val="right"/>
            </w:pPr>
            <w:r>
              <w:t>28,707,976.02</w:t>
            </w:r>
          </w:p>
        </w:tc>
        <w:tc>
          <w:tcPr>
            <w:tcW w:w="1402" w:type="pct"/>
            <w:tcBorders>
              <w:top w:val="outset" w:color="auto" w:sz="6" w:space="0"/>
              <w:left w:val="outset" w:color="auto" w:sz="6" w:space="0"/>
              <w:bottom w:val="outset" w:color="auto" w:sz="6" w:space="0"/>
              <w:right w:val="outset" w:color="auto" w:sz="6" w:space="0"/>
            </w:tcBorders>
            <w:vAlign w:val="center"/>
          </w:tcPr>
          <w:p w14:paraId="3F92004C">
            <w:pPr>
              <w:jc w:val="right"/>
            </w:pPr>
            <w:r>
              <w:t>27,655,981.71</w:t>
            </w:r>
          </w:p>
        </w:tc>
      </w:tr>
      <w:tr w14:paraId="7A26E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DF88955">
            <w:pPr>
              <w:ind w:firstLine="210" w:firstLineChars="100"/>
            </w:pPr>
            <w:r>
              <w:rPr>
                <w:rFonts w:hint="eastAsia"/>
              </w:rPr>
              <w:t>递延所得税负债</w:t>
            </w:r>
          </w:p>
        </w:tc>
        <w:tc>
          <w:tcPr>
            <w:tcW w:w="1401" w:type="pct"/>
            <w:tcBorders>
              <w:top w:val="outset" w:color="auto" w:sz="6" w:space="0"/>
              <w:left w:val="outset" w:color="auto" w:sz="6" w:space="0"/>
              <w:bottom w:val="outset" w:color="auto" w:sz="6" w:space="0"/>
              <w:right w:val="outset" w:color="auto" w:sz="6" w:space="0"/>
            </w:tcBorders>
            <w:vAlign w:val="center"/>
          </w:tcPr>
          <w:p w14:paraId="02B94F22">
            <w:pPr>
              <w:jc w:val="right"/>
            </w:pPr>
            <w:r>
              <w:t>13,140,270.60</w:t>
            </w:r>
          </w:p>
        </w:tc>
        <w:tc>
          <w:tcPr>
            <w:tcW w:w="1402" w:type="pct"/>
            <w:tcBorders>
              <w:top w:val="outset" w:color="auto" w:sz="6" w:space="0"/>
              <w:left w:val="outset" w:color="auto" w:sz="6" w:space="0"/>
              <w:bottom w:val="outset" w:color="auto" w:sz="6" w:space="0"/>
              <w:right w:val="outset" w:color="auto" w:sz="6" w:space="0"/>
            </w:tcBorders>
            <w:vAlign w:val="center"/>
          </w:tcPr>
          <w:p w14:paraId="1A1D893F">
            <w:pPr>
              <w:jc w:val="right"/>
            </w:pPr>
            <w:r>
              <w:t>11,993,083.41</w:t>
            </w:r>
          </w:p>
        </w:tc>
      </w:tr>
      <w:tr w14:paraId="6E36F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2073B22">
            <w:pPr>
              <w:ind w:firstLine="210" w:firstLineChars="100"/>
            </w:pPr>
            <w:r>
              <w:rPr>
                <w:rFonts w:hint="eastAsia"/>
              </w:rPr>
              <w:t>其他非流动负债</w:t>
            </w:r>
          </w:p>
        </w:tc>
        <w:tc>
          <w:tcPr>
            <w:tcW w:w="1401" w:type="pct"/>
            <w:tcBorders>
              <w:top w:val="outset" w:color="auto" w:sz="6" w:space="0"/>
              <w:left w:val="outset" w:color="auto" w:sz="6" w:space="0"/>
              <w:bottom w:val="outset" w:color="auto" w:sz="6" w:space="0"/>
              <w:right w:val="outset" w:color="auto" w:sz="6" w:space="0"/>
            </w:tcBorders>
          </w:tcPr>
          <w:p w14:paraId="2A745A4C">
            <w:pPr>
              <w:jc w:val="right"/>
            </w:pPr>
          </w:p>
        </w:tc>
        <w:tc>
          <w:tcPr>
            <w:tcW w:w="1402" w:type="pct"/>
            <w:tcBorders>
              <w:top w:val="outset" w:color="auto" w:sz="6" w:space="0"/>
              <w:left w:val="outset" w:color="auto" w:sz="6" w:space="0"/>
              <w:bottom w:val="outset" w:color="auto" w:sz="6" w:space="0"/>
              <w:right w:val="outset" w:color="auto" w:sz="6" w:space="0"/>
            </w:tcBorders>
          </w:tcPr>
          <w:p w14:paraId="4CB8F25F">
            <w:pPr>
              <w:jc w:val="right"/>
            </w:pPr>
          </w:p>
        </w:tc>
      </w:tr>
      <w:tr w14:paraId="2F284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E5796E7">
            <w:pPr>
              <w:ind w:firstLine="420" w:firstLineChars="200"/>
            </w:pPr>
            <w:r>
              <w:rPr>
                <w:rFonts w:hint="eastAsia"/>
              </w:rPr>
              <w:t>非流动负债合计</w:t>
            </w:r>
          </w:p>
        </w:tc>
        <w:tc>
          <w:tcPr>
            <w:tcW w:w="1401" w:type="pct"/>
            <w:tcBorders>
              <w:top w:val="outset" w:color="auto" w:sz="6" w:space="0"/>
              <w:left w:val="outset" w:color="auto" w:sz="6" w:space="0"/>
              <w:bottom w:val="outset" w:color="auto" w:sz="6" w:space="0"/>
              <w:right w:val="outset" w:color="auto" w:sz="6" w:space="0"/>
            </w:tcBorders>
            <w:vAlign w:val="center"/>
          </w:tcPr>
          <w:p w14:paraId="1144F8C2">
            <w:pPr>
              <w:jc w:val="right"/>
            </w:pPr>
            <w:r>
              <w:t>375,820,317.50</w:t>
            </w:r>
          </w:p>
        </w:tc>
        <w:tc>
          <w:tcPr>
            <w:tcW w:w="1402" w:type="pct"/>
            <w:tcBorders>
              <w:top w:val="outset" w:color="auto" w:sz="6" w:space="0"/>
              <w:left w:val="outset" w:color="auto" w:sz="6" w:space="0"/>
              <w:bottom w:val="outset" w:color="auto" w:sz="6" w:space="0"/>
              <w:right w:val="outset" w:color="auto" w:sz="6" w:space="0"/>
            </w:tcBorders>
            <w:vAlign w:val="center"/>
          </w:tcPr>
          <w:p w14:paraId="1E07DFFA">
            <w:pPr>
              <w:jc w:val="right"/>
            </w:pPr>
            <w:r>
              <w:t>312,641,458.17</w:t>
            </w:r>
          </w:p>
        </w:tc>
      </w:tr>
      <w:tr w14:paraId="6444A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7582080">
            <w:pPr>
              <w:ind w:firstLine="630" w:firstLineChars="300"/>
            </w:pPr>
            <w:r>
              <w:rPr>
                <w:rFonts w:hint="eastAsia"/>
              </w:rPr>
              <w:t>负债合计</w:t>
            </w:r>
          </w:p>
        </w:tc>
        <w:tc>
          <w:tcPr>
            <w:tcW w:w="1401" w:type="pct"/>
            <w:tcBorders>
              <w:top w:val="outset" w:color="auto" w:sz="6" w:space="0"/>
              <w:left w:val="outset" w:color="auto" w:sz="6" w:space="0"/>
              <w:bottom w:val="outset" w:color="auto" w:sz="6" w:space="0"/>
              <w:right w:val="outset" w:color="auto" w:sz="6" w:space="0"/>
            </w:tcBorders>
            <w:vAlign w:val="center"/>
          </w:tcPr>
          <w:p w14:paraId="4AE3A6D7">
            <w:pPr>
              <w:jc w:val="right"/>
            </w:pPr>
            <w:r>
              <w:t>1,016,128,667.09</w:t>
            </w:r>
          </w:p>
        </w:tc>
        <w:tc>
          <w:tcPr>
            <w:tcW w:w="1402" w:type="pct"/>
            <w:tcBorders>
              <w:top w:val="outset" w:color="auto" w:sz="6" w:space="0"/>
              <w:left w:val="outset" w:color="auto" w:sz="6" w:space="0"/>
              <w:bottom w:val="outset" w:color="auto" w:sz="6" w:space="0"/>
              <w:right w:val="outset" w:color="auto" w:sz="6" w:space="0"/>
            </w:tcBorders>
            <w:vAlign w:val="center"/>
          </w:tcPr>
          <w:p w14:paraId="1A8465DE">
            <w:pPr>
              <w:jc w:val="right"/>
            </w:pPr>
            <w:r>
              <w:t>978,084,292.41</w:t>
            </w:r>
          </w:p>
        </w:tc>
      </w:tr>
      <w:tr w14:paraId="36BAE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outset" w:color="auto" w:sz="6" w:space="0"/>
              <w:left w:val="outset" w:color="auto" w:sz="6" w:space="0"/>
              <w:bottom w:val="outset" w:color="auto" w:sz="6" w:space="0"/>
              <w:right w:val="outset" w:color="auto" w:sz="6" w:space="0"/>
            </w:tcBorders>
            <w:vAlign w:val="center"/>
          </w:tcPr>
          <w:sdt>
            <w:sdtPr>
              <w:tag w:val="_PLD_967501b5ccac4046b53bc544cee8a7d0"/>
              <w:id w:val="1052572206"/>
            </w:sdtPr>
            <w:sdtContent>
              <w:p w14:paraId="39E2393F">
                <w:pPr>
                  <w:rPr>
                    <w:color w:val="008000"/>
                  </w:rPr>
                </w:pPr>
                <w:r>
                  <w:rPr>
                    <w:rFonts w:hint="eastAsia"/>
                    <w:b/>
                    <w:bCs/>
                  </w:rPr>
                  <w:t>所有者权益（或股东权益）：</w:t>
                </w:r>
              </w:p>
            </w:sdtContent>
          </w:sdt>
        </w:tc>
      </w:tr>
      <w:tr w14:paraId="453E1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BE3776B">
            <w:pPr>
              <w:ind w:firstLine="210" w:firstLineChars="100"/>
            </w:pPr>
            <w:r>
              <w:rPr>
                <w:rFonts w:hint="eastAsia"/>
              </w:rPr>
              <w:t>实收资本（或股本）</w:t>
            </w:r>
          </w:p>
        </w:tc>
        <w:tc>
          <w:tcPr>
            <w:tcW w:w="1401" w:type="pct"/>
            <w:tcBorders>
              <w:top w:val="outset" w:color="auto" w:sz="6" w:space="0"/>
              <w:left w:val="outset" w:color="auto" w:sz="6" w:space="0"/>
              <w:bottom w:val="outset" w:color="auto" w:sz="6" w:space="0"/>
              <w:right w:val="outset" w:color="auto" w:sz="6" w:space="0"/>
            </w:tcBorders>
            <w:vAlign w:val="center"/>
          </w:tcPr>
          <w:p w14:paraId="206925A8">
            <w:pPr>
              <w:jc w:val="right"/>
            </w:pPr>
            <w:r>
              <w:t>1,958,542,829.00</w:t>
            </w:r>
          </w:p>
        </w:tc>
        <w:tc>
          <w:tcPr>
            <w:tcW w:w="1402" w:type="pct"/>
            <w:tcBorders>
              <w:top w:val="outset" w:color="auto" w:sz="6" w:space="0"/>
              <w:left w:val="outset" w:color="auto" w:sz="6" w:space="0"/>
              <w:bottom w:val="outset" w:color="auto" w:sz="6" w:space="0"/>
              <w:right w:val="outset" w:color="auto" w:sz="6" w:space="0"/>
            </w:tcBorders>
            <w:vAlign w:val="center"/>
          </w:tcPr>
          <w:p w14:paraId="7CD65314">
            <w:pPr>
              <w:jc w:val="right"/>
            </w:pPr>
            <w:r>
              <w:t>1,981,734,074.00</w:t>
            </w:r>
          </w:p>
        </w:tc>
      </w:tr>
      <w:tr w14:paraId="2FB26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A0C35B8">
            <w:pPr>
              <w:ind w:firstLine="210" w:firstLineChars="100"/>
            </w:pPr>
            <w:r>
              <w:rPr>
                <w:rFonts w:hint="eastAsia"/>
              </w:rPr>
              <w:t>其他权益工具</w:t>
            </w:r>
          </w:p>
        </w:tc>
        <w:tc>
          <w:tcPr>
            <w:tcW w:w="1401" w:type="pct"/>
            <w:tcBorders>
              <w:top w:val="outset" w:color="auto" w:sz="6" w:space="0"/>
              <w:left w:val="outset" w:color="auto" w:sz="6" w:space="0"/>
              <w:bottom w:val="outset" w:color="auto" w:sz="6" w:space="0"/>
              <w:right w:val="outset" w:color="auto" w:sz="6" w:space="0"/>
            </w:tcBorders>
          </w:tcPr>
          <w:p w14:paraId="4175D745">
            <w:pPr>
              <w:jc w:val="right"/>
            </w:pPr>
          </w:p>
        </w:tc>
        <w:tc>
          <w:tcPr>
            <w:tcW w:w="1402" w:type="pct"/>
            <w:tcBorders>
              <w:top w:val="outset" w:color="auto" w:sz="6" w:space="0"/>
              <w:left w:val="outset" w:color="auto" w:sz="6" w:space="0"/>
              <w:bottom w:val="outset" w:color="auto" w:sz="6" w:space="0"/>
              <w:right w:val="outset" w:color="auto" w:sz="6" w:space="0"/>
            </w:tcBorders>
          </w:tcPr>
          <w:p w14:paraId="60D03C9E">
            <w:pPr>
              <w:jc w:val="right"/>
            </w:pPr>
          </w:p>
        </w:tc>
      </w:tr>
      <w:tr w14:paraId="44234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B660C55">
            <w:pPr>
              <w:ind w:firstLine="210" w:firstLineChars="100"/>
            </w:pPr>
            <w:r>
              <w:rPr>
                <w:rFonts w:hint="eastAsia"/>
              </w:rPr>
              <w:t>其中：优先股</w:t>
            </w:r>
          </w:p>
        </w:tc>
        <w:tc>
          <w:tcPr>
            <w:tcW w:w="1401" w:type="pct"/>
            <w:tcBorders>
              <w:top w:val="outset" w:color="auto" w:sz="6" w:space="0"/>
              <w:left w:val="outset" w:color="auto" w:sz="6" w:space="0"/>
              <w:bottom w:val="outset" w:color="auto" w:sz="6" w:space="0"/>
              <w:right w:val="outset" w:color="auto" w:sz="6" w:space="0"/>
            </w:tcBorders>
          </w:tcPr>
          <w:p w14:paraId="44F40DC4">
            <w:pPr>
              <w:jc w:val="right"/>
            </w:pPr>
          </w:p>
        </w:tc>
        <w:tc>
          <w:tcPr>
            <w:tcW w:w="1402" w:type="pct"/>
            <w:tcBorders>
              <w:top w:val="outset" w:color="auto" w:sz="6" w:space="0"/>
              <w:left w:val="outset" w:color="auto" w:sz="6" w:space="0"/>
              <w:bottom w:val="outset" w:color="auto" w:sz="6" w:space="0"/>
              <w:right w:val="outset" w:color="auto" w:sz="6" w:space="0"/>
            </w:tcBorders>
          </w:tcPr>
          <w:p w14:paraId="61C0FFD4">
            <w:pPr>
              <w:jc w:val="right"/>
            </w:pPr>
          </w:p>
        </w:tc>
      </w:tr>
      <w:tr w14:paraId="66B633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8D5D265">
            <w:pPr>
              <w:ind w:firstLine="210" w:firstLineChars="100"/>
            </w:pPr>
            <w:r>
              <w:rPr>
                <w:rFonts w:hint="eastAsia"/>
              </w:rPr>
              <w:t>永续债</w:t>
            </w:r>
          </w:p>
        </w:tc>
        <w:tc>
          <w:tcPr>
            <w:tcW w:w="1401" w:type="pct"/>
            <w:tcBorders>
              <w:top w:val="outset" w:color="auto" w:sz="6" w:space="0"/>
              <w:left w:val="outset" w:color="auto" w:sz="6" w:space="0"/>
              <w:bottom w:val="outset" w:color="auto" w:sz="6" w:space="0"/>
              <w:right w:val="outset" w:color="auto" w:sz="6" w:space="0"/>
            </w:tcBorders>
          </w:tcPr>
          <w:p w14:paraId="5DF5331F">
            <w:pPr>
              <w:jc w:val="right"/>
            </w:pPr>
          </w:p>
        </w:tc>
        <w:tc>
          <w:tcPr>
            <w:tcW w:w="1402" w:type="pct"/>
            <w:tcBorders>
              <w:top w:val="outset" w:color="auto" w:sz="6" w:space="0"/>
              <w:left w:val="outset" w:color="auto" w:sz="6" w:space="0"/>
              <w:bottom w:val="outset" w:color="auto" w:sz="6" w:space="0"/>
              <w:right w:val="outset" w:color="auto" w:sz="6" w:space="0"/>
            </w:tcBorders>
          </w:tcPr>
          <w:p w14:paraId="22B72293">
            <w:pPr>
              <w:jc w:val="right"/>
            </w:pPr>
          </w:p>
        </w:tc>
      </w:tr>
      <w:tr w14:paraId="20BF0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6F4B7BD">
            <w:pPr>
              <w:ind w:firstLine="210" w:firstLineChars="100"/>
            </w:pPr>
            <w:r>
              <w:rPr>
                <w:rFonts w:hint="eastAsia"/>
              </w:rPr>
              <w:t>资本公积</w:t>
            </w:r>
          </w:p>
        </w:tc>
        <w:tc>
          <w:tcPr>
            <w:tcW w:w="1401" w:type="pct"/>
            <w:tcBorders>
              <w:top w:val="outset" w:color="auto" w:sz="6" w:space="0"/>
              <w:left w:val="outset" w:color="auto" w:sz="6" w:space="0"/>
              <w:bottom w:val="outset" w:color="auto" w:sz="6" w:space="0"/>
              <w:right w:val="outset" w:color="auto" w:sz="6" w:space="0"/>
            </w:tcBorders>
            <w:vAlign w:val="center"/>
          </w:tcPr>
          <w:p w14:paraId="2539B729">
            <w:pPr>
              <w:jc w:val="right"/>
            </w:pPr>
            <w:r>
              <w:t>303,296,699.36</w:t>
            </w:r>
          </w:p>
        </w:tc>
        <w:tc>
          <w:tcPr>
            <w:tcW w:w="1402" w:type="pct"/>
            <w:tcBorders>
              <w:top w:val="outset" w:color="auto" w:sz="6" w:space="0"/>
              <w:left w:val="outset" w:color="auto" w:sz="6" w:space="0"/>
              <w:bottom w:val="outset" w:color="auto" w:sz="6" w:space="0"/>
              <w:right w:val="outset" w:color="auto" w:sz="6" w:space="0"/>
            </w:tcBorders>
            <w:vAlign w:val="center"/>
          </w:tcPr>
          <w:p w14:paraId="32347025">
            <w:pPr>
              <w:jc w:val="right"/>
            </w:pPr>
            <w:r>
              <w:t>508,765,505.46</w:t>
            </w:r>
          </w:p>
        </w:tc>
      </w:tr>
      <w:tr w14:paraId="27FD4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AF6FB7A">
            <w:pPr>
              <w:ind w:firstLine="210" w:firstLineChars="100"/>
            </w:pPr>
            <w:r>
              <w:rPr>
                <w:rFonts w:hint="eastAsia"/>
              </w:rPr>
              <w:t>减：库存股</w:t>
            </w:r>
          </w:p>
        </w:tc>
        <w:tc>
          <w:tcPr>
            <w:tcW w:w="1401" w:type="pct"/>
            <w:tcBorders>
              <w:top w:val="outset" w:color="auto" w:sz="6" w:space="0"/>
              <w:left w:val="outset" w:color="auto" w:sz="6" w:space="0"/>
              <w:bottom w:val="outset" w:color="auto" w:sz="6" w:space="0"/>
              <w:right w:val="outset" w:color="auto" w:sz="6" w:space="0"/>
            </w:tcBorders>
            <w:vAlign w:val="center"/>
          </w:tcPr>
          <w:p w14:paraId="501A6251">
            <w:pPr>
              <w:jc w:val="right"/>
            </w:pPr>
            <w:r>
              <w:t>46,155,026.92</w:t>
            </w:r>
          </w:p>
        </w:tc>
        <w:tc>
          <w:tcPr>
            <w:tcW w:w="1402" w:type="pct"/>
            <w:tcBorders>
              <w:top w:val="outset" w:color="auto" w:sz="6" w:space="0"/>
              <w:left w:val="outset" w:color="auto" w:sz="6" w:space="0"/>
              <w:bottom w:val="outset" w:color="auto" w:sz="6" w:space="0"/>
              <w:right w:val="outset" w:color="auto" w:sz="6" w:space="0"/>
            </w:tcBorders>
            <w:vAlign w:val="center"/>
          </w:tcPr>
          <w:p w14:paraId="1F3AA5F4">
            <w:pPr>
              <w:jc w:val="right"/>
            </w:pPr>
            <w:r>
              <w:t>300,279,281.09</w:t>
            </w:r>
          </w:p>
        </w:tc>
      </w:tr>
      <w:tr w14:paraId="50332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A2797D6">
            <w:pPr>
              <w:ind w:firstLine="210" w:firstLineChars="100"/>
            </w:pPr>
            <w:r>
              <w:rPr>
                <w:rFonts w:hint="eastAsia"/>
              </w:rPr>
              <w:t>其他综合收益</w:t>
            </w:r>
          </w:p>
        </w:tc>
        <w:tc>
          <w:tcPr>
            <w:tcW w:w="1401" w:type="pct"/>
            <w:tcBorders>
              <w:top w:val="outset" w:color="auto" w:sz="6" w:space="0"/>
              <w:left w:val="outset" w:color="auto" w:sz="6" w:space="0"/>
              <w:bottom w:val="outset" w:color="auto" w:sz="6" w:space="0"/>
              <w:right w:val="outset" w:color="auto" w:sz="6" w:space="0"/>
            </w:tcBorders>
            <w:vAlign w:val="center"/>
          </w:tcPr>
          <w:p w14:paraId="1BF8B7AC">
            <w:pPr>
              <w:jc w:val="right"/>
            </w:pPr>
            <w:r>
              <w:t>6,910,223.58</w:t>
            </w:r>
          </w:p>
        </w:tc>
        <w:tc>
          <w:tcPr>
            <w:tcW w:w="1402" w:type="pct"/>
            <w:tcBorders>
              <w:top w:val="outset" w:color="auto" w:sz="6" w:space="0"/>
              <w:left w:val="outset" w:color="auto" w:sz="6" w:space="0"/>
              <w:bottom w:val="outset" w:color="auto" w:sz="6" w:space="0"/>
              <w:right w:val="outset" w:color="auto" w:sz="6" w:space="0"/>
            </w:tcBorders>
            <w:vAlign w:val="center"/>
          </w:tcPr>
          <w:p w14:paraId="2FAB0D8A">
            <w:pPr>
              <w:jc w:val="right"/>
            </w:pPr>
            <w:r>
              <w:t>6,910,223.58</w:t>
            </w:r>
          </w:p>
        </w:tc>
      </w:tr>
      <w:tr w14:paraId="42BF1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5AA2C29">
            <w:pPr>
              <w:ind w:firstLine="210" w:firstLineChars="100"/>
            </w:pPr>
            <w:r>
              <w:rPr>
                <w:rFonts w:hint="eastAsia"/>
                <w:bCs/>
              </w:rPr>
              <w:t>专项储备</w:t>
            </w:r>
          </w:p>
        </w:tc>
        <w:tc>
          <w:tcPr>
            <w:tcW w:w="1401" w:type="pct"/>
            <w:tcBorders>
              <w:top w:val="outset" w:color="auto" w:sz="6" w:space="0"/>
              <w:left w:val="outset" w:color="auto" w:sz="6" w:space="0"/>
              <w:bottom w:val="outset" w:color="auto" w:sz="6" w:space="0"/>
              <w:right w:val="outset" w:color="auto" w:sz="6" w:space="0"/>
            </w:tcBorders>
          </w:tcPr>
          <w:p w14:paraId="7C6CF6E9">
            <w:pPr>
              <w:jc w:val="right"/>
            </w:pPr>
          </w:p>
        </w:tc>
        <w:tc>
          <w:tcPr>
            <w:tcW w:w="1402" w:type="pct"/>
            <w:tcBorders>
              <w:top w:val="outset" w:color="auto" w:sz="6" w:space="0"/>
              <w:left w:val="outset" w:color="auto" w:sz="6" w:space="0"/>
              <w:bottom w:val="outset" w:color="auto" w:sz="6" w:space="0"/>
              <w:right w:val="outset" w:color="auto" w:sz="6" w:space="0"/>
            </w:tcBorders>
          </w:tcPr>
          <w:p w14:paraId="7B493690">
            <w:pPr>
              <w:jc w:val="right"/>
            </w:pPr>
          </w:p>
        </w:tc>
      </w:tr>
      <w:tr w14:paraId="76A72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8F3E6E1">
            <w:pPr>
              <w:ind w:firstLine="210" w:firstLineChars="100"/>
            </w:pPr>
            <w:r>
              <w:rPr>
                <w:rFonts w:hint="eastAsia"/>
              </w:rPr>
              <w:t>盈余公积</w:t>
            </w:r>
          </w:p>
        </w:tc>
        <w:tc>
          <w:tcPr>
            <w:tcW w:w="1401" w:type="pct"/>
            <w:tcBorders>
              <w:top w:val="outset" w:color="auto" w:sz="6" w:space="0"/>
              <w:left w:val="outset" w:color="auto" w:sz="6" w:space="0"/>
              <w:bottom w:val="outset" w:color="auto" w:sz="6" w:space="0"/>
              <w:right w:val="outset" w:color="auto" w:sz="6" w:space="0"/>
            </w:tcBorders>
            <w:vAlign w:val="center"/>
          </w:tcPr>
          <w:p w14:paraId="7FED081F">
            <w:pPr>
              <w:jc w:val="right"/>
            </w:pPr>
            <w:r>
              <w:t>1,027,149,340.36</w:t>
            </w:r>
          </w:p>
        </w:tc>
        <w:tc>
          <w:tcPr>
            <w:tcW w:w="1402" w:type="pct"/>
            <w:tcBorders>
              <w:top w:val="outset" w:color="auto" w:sz="6" w:space="0"/>
              <w:left w:val="outset" w:color="auto" w:sz="6" w:space="0"/>
              <w:bottom w:val="outset" w:color="auto" w:sz="6" w:space="0"/>
              <w:right w:val="outset" w:color="auto" w:sz="6" w:space="0"/>
            </w:tcBorders>
            <w:vAlign w:val="center"/>
          </w:tcPr>
          <w:p w14:paraId="435D8AEB">
            <w:pPr>
              <w:jc w:val="right"/>
            </w:pPr>
            <w:r>
              <w:t>1,027,149,340.36</w:t>
            </w:r>
          </w:p>
        </w:tc>
      </w:tr>
      <w:tr w14:paraId="35C94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52B49E6">
            <w:pPr>
              <w:ind w:firstLine="210" w:firstLineChars="100"/>
            </w:pPr>
            <w:r>
              <w:rPr>
                <w:rFonts w:hint="eastAsia"/>
              </w:rPr>
              <w:t>一般风险准备</w:t>
            </w:r>
          </w:p>
        </w:tc>
        <w:tc>
          <w:tcPr>
            <w:tcW w:w="1401" w:type="pct"/>
            <w:tcBorders>
              <w:top w:val="outset" w:color="auto" w:sz="6" w:space="0"/>
              <w:left w:val="outset" w:color="auto" w:sz="6" w:space="0"/>
              <w:bottom w:val="outset" w:color="auto" w:sz="6" w:space="0"/>
              <w:right w:val="outset" w:color="auto" w:sz="6" w:space="0"/>
            </w:tcBorders>
          </w:tcPr>
          <w:p w14:paraId="68BEB9EB">
            <w:pPr>
              <w:jc w:val="right"/>
            </w:pPr>
          </w:p>
        </w:tc>
        <w:tc>
          <w:tcPr>
            <w:tcW w:w="1402" w:type="pct"/>
            <w:tcBorders>
              <w:top w:val="outset" w:color="auto" w:sz="6" w:space="0"/>
              <w:left w:val="outset" w:color="auto" w:sz="6" w:space="0"/>
              <w:bottom w:val="outset" w:color="auto" w:sz="6" w:space="0"/>
              <w:right w:val="outset" w:color="auto" w:sz="6" w:space="0"/>
            </w:tcBorders>
          </w:tcPr>
          <w:p w14:paraId="77EF6381">
            <w:pPr>
              <w:jc w:val="right"/>
            </w:pPr>
          </w:p>
        </w:tc>
      </w:tr>
      <w:tr w14:paraId="23A01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55E469A">
            <w:pPr>
              <w:ind w:firstLine="210" w:firstLineChars="100"/>
            </w:pPr>
            <w:r>
              <w:rPr>
                <w:rFonts w:hint="eastAsia"/>
              </w:rPr>
              <w:t>未分配利润</w:t>
            </w:r>
          </w:p>
        </w:tc>
        <w:tc>
          <w:tcPr>
            <w:tcW w:w="1401" w:type="pct"/>
            <w:tcBorders>
              <w:top w:val="outset" w:color="auto" w:sz="6" w:space="0"/>
              <w:left w:val="outset" w:color="auto" w:sz="6" w:space="0"/>
              <w:bottom w:val="outset" w:color="auto" w:sz="6" w:space="0"/>
              <w:right w:val="outset" w:color="auto" w:sz="6" w:space="0"/>
            </w:tcBorders>
            <w:vAlign w:val="center"/>
          </w:tcPr>
          <w:p w14:paraId="0CC729D0">
            <w:pPr>
              <w:jc w:val="right"/>
            </w:pPr>
            <w:r>
              <w:t>3,878,667,898.89</w:t>
            </w:r>
          </w:p>
        </w:tc>
        <w:tc>
          <w:tcPr>
            <w:tcW w:w="1402" w:type="pct"/>
            <w:tcBorders>
              <w:top w:val="outset" w:color="auto" w:sz="6" w:space="0"/>
              <w:left w:val="outset" w:color="auto" w:sz="6" w:space="0"/>
              <w:bottom w:val="outset" w:color="auto" w:sz="6" w:space="0"/>
              <w:right w:val="outset" w:color="auto" w:sz="6" w:space="0"/>
            </w:tcBorders>
            <w:vAlign w:val="center"/>
          </w:tcPr>
          <w:p w14:paraId="4F9BB5F3">
            <w:pPr>
              <w:jc w:val="right"/>
            </w:pPr>
            <w:r>
              <w:t>3,159,260,495.84</w:t>
            </w:r>
          </w:p>
        </w:tc>
      </w:tr>
      <w:tr w14:paraId="123AA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09D1748">
            <w:pPr>
              <w:ind w:firstLine="210" w:firstLineChars="100"/>
            </w:pPr>
            <w:r>
              <w:rPr>
                <w:rFonts w:hint="eastAsia"/>
              </w:rPr>
              <w:t>归属于母公司所有者权益（或股东权益）合计</w:t>
            </w:r>
          </w:p>
        </w:tc>
        <w:tc>
          <w:tcPr>
            <w:tcW w:w="1401" w:type="pct"/>
            <w:tcBorders>
              <w:top w:val="outset" w:color="auto" w:sz="6" w:space="0"/>
              <w:left w:val="outset" w:color="auto" w:sz="6" w:space="0"/>
              <w:bottom w:val="outset" w:color="auto" w:sz="6" w:space="0"/>
              <w:right w:val="outset" w:color="auto" w:sz="6" w:space="0"/>
            </w:tcBorders>
            <w:vAlign w:val="center"/>
          </w:tcPr>
          <w:p w14:paraId="3592F9AD">
            <w:pPr>
              <w:jc w:val="right"/>
            </w:pPr>
            <w:r>
              <w:t>7,128,411,964.27</w:t>
            </w:r>
          </w:p>
        </w:tc>
        <w:tc>
          <w:tcPr>
            <w:tcW w:w="1402" w:type="pct"/>
            <w:tcBorders>
              <w:top w:val="outset" w:color="auto" w:sz="6" w:space="0"/>
              <w:left w:val="outset" w:color="auto" w:sz="6" w:space="0"/>
              <w:bottom w:val="outset" w:color="auto" w:sz="6" w:space="0"/>
              <w:right w:val="outset" w:color="auto" w:sz="6" w:space="0"/>
            </w:tcBorders>
            <w:vAlign w:val="center"/>
          </w:tcPr>
          <w:p w14:paraId="6281377D">
            <w:pPr>
              <w:jc w:val="right"/>
            </w:pPr>
            <w:r>
              <w:t>6,383,540,358.15</w:t>
            </w:r>
          </w:p>
        </w:tc>
      </w:tr>
      <w:tr w14:paraId="6216D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F46302E">
            <w:pPr>
              <w:ind w:firstLine="210" w:firstLineChars="100"/>
            </w:pPr>
            <w:r>
              <w:rPr>
                <w:rFonts w:hint="eastAsia"/>
              </w:rPr>
              <w:t>少数股东权益</w:t>
            </w:r>
          </w:p>
        </w:tc>
        <w:tc>
          <w:tcPr>
            <w:tcW w:w="1401" w:type="pct"/>
            <w:tcBorders>
              <w:top w:val="outset" w:color="auto" w:sz="6" w:space="0"/>
              <w:left w:val="outset" w:color="auto" w:sz="6" w:space="0"/>
              <w:bottom w:val="outset" w:color="auto" w:sz="6" w:space="0"/>
              <w:right w:val="outset" w:color="auto" w:sz="6" w:space="0"/>
            </w:tcBorders>
            <w:vAlign w:val="center"/>
          </w:tcPr>
          <w:p w14:paraId="72B35AAE">
            <w:pPr>
              <w:jc w:val="right"/>
            </w:pPr>
            <w:r>
              <w:t>9,732,821.00</w:t>
            </w:r>
          </w:p>
        </w:tc>
        <w:tc>
          <w:tcPr>
            <w:tcW w:w="1402" w:type="pct"/>
            <w:tcBorders>
              <w:top w:val="outset" w:color="auto" w:sz="6" w:space="0"/>
              <w:left w:val="outset" w:color="auto" w:sz="6" w:space="0"/>
              <w:bottom w:val="outset" w:color="auto" w:sz="6" w:space="0"/>
              <w:right w:val="outset" w:color="auto" w:sz="6" w:space="0"/>
            </w:tcBorders>
            <w:vAlign w:val="center"/>
          </w:tcPr>
          <w:p w14:paraId="65AABCB8">
            <w:pPr>
              <w:jc w:val="right"/>
            </w:pPr>
            <w:r>
              <w:t>16,886,019.13</w:t>
            </w:r>
          </w:p>
        </w:tc>
      </w:tr>
      <w:tr w14:paraId="35C51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0D9B3A8">
            <w:pPr>
              <w:ind w:firstLine="420" w:firstLineChars="200"/>
            </w:pPr>
            <w:r>
              <w:rPr>
                <w:rFonts w:hint="eastAsia"/>
              </w:rPr>
              <w:t>所有者权益（或股东权益）合计</w:t>
            </w:r>
          </w:p>
        </w:tc>
        <w:tc>
          <w:tcPr>
            <w:tcW w:w="1401" w:type="pct"/>
            <w:tcBorders>
              <w:top w:val="outset" w:color="auto" w:sz="6" w:space="0"/>
              <w:left w:val="outset" w:color="auto" w:sz="6" w:space="0"/>
              <w:bottom w:val="outset" w:color="auto" w:sz="6" w:space="0"/>
              <w:right w:val="outset" w:color="auto" w:sz="6" w:space="0"/>
            </w:tcBorders>
            <w:vAlign w:val="center"/>
          </w:tcPr>
          <w:p w14:paraId="5ACDF90A">
            <w:pPr>
              <w:jc w:val="right"/>
            </w:pPr>
            <w:r>
              <w:t>7,138,144,785.27</w:t>
            </w:r>
          </w:p>
        </w:tc>
        <w:tc>
          <w:tcPr>
            <w:tcW w:w="1402" w:type="pct"/>
            <w:tcBorders>
              <w:top w:val="outset" w:color="auto" w:sz="6" w:space="0"/>
              <w:left w:val="outset" w:color="auto" w:sz="6" w:space="0"/>
              <w:bottom w:val="outset" w:color="auto" w:sz="6" w:space="0"/>
              <w:right w:val="outset" w:color="auto" w:sz="6" w:space="0"/>
            </w:tcBorders>
            <w:vAlign w:val="center"/>
          </w:tcPr>
          <w:p w14:paraId="2AD7D9A3">
            <w:pPr>
              <w:jc w:val="right"/>
            </w:pPr>
            <w:r>
              <w:t>6,400,426,377.28</w:t>
            </w:r>
          </w:p>
        </w:tc>
      </w:tr>
      <w:tr w14:paraId="3589E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4F7A096">
            <w:pPr>
              <w:ind w:firstLine="630" w:firstLineChars="300"/>
            </w:pPr>
            <w:r>
              <w:rPr>
                <w:rFonts w:hint="eastAsia"/>
              </w:rPr>
              <w:t>负债和所有者权益（或股东权益）总计</w:t>
            </w:r>
          </w:p>
        </w:tc>
        <w:tc>
          <w:tcPr>
            <w:tcW w:w="1401" w:type="pct"/>
            <w:tcBorders>
              <w:top w:val="outset" w:color="auto" w:sz="6" w:space="0"/>
              <w:left w:val="outset" w:color="auto" w:sz="6" w:space="0"/>
              <w:bottom w:val="outset" w:color="auto" w:sz="6" w:space="0"/>
              <w:right w:val="outset" w:color="auto" w:sz="6" w:space="0"/>
            </w:tcBorders>
            <w:vAlign w:val="center"/>
          </w:tcPr>
          <w:p w14:paraId="0AD87A2E">
            <w:pPr>
              <w:jc w:val="right"/>
            </w:pPr>
            <w:r>
              <w:t>8,154,273,452.36</w:t>
            </w:r>
          </w:p>
        </w:tc>
        <w:tc>
          <w:tcPr>
            <w:tcW w:w="1402" w:type="pct"/>
            <w:tcBorders>
              <w:top w:val="outset" w:color="auto" w:sz="6" w:space="0"/>
              <w:left w:val="outset" w:color="auto" w:sz="6" w:space="0"/>
              <w:bottom w:val="outset" w:color="auto" w:sz="6" w:space="0"/>
              <w:right w:val="outset" w:color="auto" w:sz="6" w:space="0"/>
            </w:tcBorders>
            <w:vAlign w:val="center"/>
          </w:tcPr>
          <w:p w14:paraId="2DD3E877">
            <w:pPr>
              <w:jc w:val="right"/>
            </w:pPr>
            <w:r>
              <w:t>7,378,510,669.69</w:t>
            </w:r>
          </w:p>
        </w:tc>
      </w:tr>
    </w:tbl>
    <w:p w14:paraId="06995914"/>
    <w:p w14:paraId="42C70D46">
      <w:pPr>
        <w:ind w:right="-153" w:rightChars="-73"/>
        <w:rPr>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390160602"/>
          <w:placeholder>
            <w:docPart w:val="GBC22222222222222222222222222222"/>
          </w:placeholder>
          <w:dataBinding w:prefixMappings="xmlns:clcid-mr='clcid-mr'" w:xpath="/*/clcid-mr:GongSiFuZeRenXingMing[not(@periodRef)]" w:storeItemID="{42DEBF9A-6816-48AE-BADD-E3125C474CD9}"/>
          <w:text/>
        </w:sdtPr>
        <w:sdtEndPr>
          <w:rPr>
            <w:rFonts w:hint="eastAsia"/>
          </w:rPr>
        </w:sdtEndPr>
        <w:sdtContent>
          <w:r>
            <w:rPr>
              <w:rFonts w:hint="eastAsia"/>
            </w:rPr>
            <w:t>李佳鸿</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386270604"/>
          <w:placeholder>
            <w:docPart w:val="GBC22222222222222222222222222222"/>
          </w:placeholder>
          <w:dataBinding w:prefixMappings="xmlns:clcid-mr='clcid-mr'" w:xpath="/*/clcid-mr:ZhuGuanKuaiJiGongZuoFuZeRenXingMing[not(@periodRef)]" w:storeItemID="{42DEBF9A-6816-48AE-BADD-E3125C474CD9}"/>
          <w:text/>
        </w:sdtPr>
        <w:sdtEndPr>
          <w:rPr>
            <w:rFonts w:hint="eastAsia"/>
          </w:rPr>
        </w:sdtEndPr>
        <w:sdtContent>
          <w:r>
            <w:rPr>
              <w:rFonts w:hint="eastAsia"/>
            </w:rPr>
            <w:t>迟军玉</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826267815"/>
          <w:placeholder>
            <w:docPart w:val="GBC22222222222222222222222222222"/>
          </w:placeholder>
          <w:dataBinding w:prefixMappings="xmlns:clcid-mr='clcid-mr'" w:xpath="/*/clcid-mr:KuaiJiJiGouFuZeRenXingMing[not(@periodRef)]" w:storeItemID="{42DEBF9A-6816-48AE-BADD-E3125C474CD9}"/>
          <w:text/>
        </w:sdtPr>
        <w:sdtEndPr>
          <w:rPr>
            <w:rFonts w:hint="eastAsia"/>
          </w:rPr>
        </w:sdtEndPr>
        <w:sdtContent>
          <w:r>
            <w:rPr>
              <w:rFonts w:hint="eastAsia"/>
            </w:rPr>
            <w:t>樊鸿宇</w:t>
          </w:r>
        </w:sdtContent>
      </w:sdt>
    </w:p>
    <w:p w14:paraId="2D9E9C89">
      <w:r>
        <w:br w:type="page"/>
      </w:r>
    </w:p>
    <w:p w14:paraId="53958CE2">
      <w:pPr>
        <w:ind w:right="-153" w:rightChars="-73"/>
      </w:pPr>
    </w:p>
    <w:p w14:paraId="43113EC3">
      <w:pPr>
        <w:jc w:val="center"/>
        <w:outlineLvl w:val="2"/>
      </w:pPr>
      <w:r>
        <w:rPr>
          <w:rFonts w:hint="eastAsia"/>
          <w:b/>
        </w:rPr>
        <w:t>合并</w:t>
      </w:r>
      <w:r>
        <w:rPr>
          <w:b/>
        </w:rPr>
        <w:t>利润表</w:t>
      </w:r>
    </w:p>
    <w:p w14:paraId="440ECA7C">
      <w:pPr>
        <w:jc w:val="center"/>
        <w:rPr>
          <w:rFonts w:cs="宋体"/>
        </w:rPr>
      </w:pPr>
      <w:r>
        <w:rPr>
          <w:rFonts w:hint="eastAsia" w:cs="宋体"/>
        </w:rPr>
        <w:t>2025年1—9月</w:t>
      </w:r>
    </w:p>
    <w:p w14:paraId="34684D2A">
      <w:pPr>
        <w:spacing w:line="288" w:lineRule="auto"/>
      </w:pPr>
      <w:r>
        <w:rPr>
          <w:rFonts w:hint="eastAsia"/>
        </w:rPr>
        <w:t>编制单位：</w:t>
      </w:r>
      <w:sdt>
        <w:sdtPr>
          <w:rPr>
            <w:rFonts w:hint="eastAsia"/>
          </w:rPr>
          <w:alias w:val="公司法定中文名称"/>
          <w:tag w:val="_GBC_91a63b2855a145d3a38d258b02c37ca9"/>
          <w:id w:val="2047021379"/>
          <w:placeholder>
            <w:docPart w:val="GBC22222222222222222222222222222"/>
          </w:placeholder>
          <w:dataBinding w:prefixMappings="xmlns:clcid-cgi='clcid-cgi'" w:xpath="/*/clcid-cgi:GongSiFaDingZhongWenMingCheng[not(@periodRef)]" w:storeItemID="{42DEBF9A-6816-48AE-BADD-E3125C474CD9}"/>
          <w:text/>
        </w:sdtPr>
        <w:sdtEndPr>
          <w:rPr>
            <w:rFonts w:hint="eastAsia"/>
          </w:rPr>
        </w:sdtEndPr>
        <w:sdtContent>
          <w:r>
            <w:rPr>
              <w:rFonts w:hint="eastAsia"/>
            </w:rPr>
            <w:t>通化东宝药业股份有限公司</w:t>
          </w:r>
        </w:sdtContent>
      </w:sdt>
    </w:p>
    <w:p w14:paraId="6A720070">
      <w:pPr>
        <w:wordWrap w:val="0"/>
        <w:jc w:val="right"/>
      </w:pPr>
      <w:r>
        <w:t>单位</w:t>
      </w:r>
      <w:r>
        <w:rPr>
          <w:rFonts w:hint="eastAsia"/>
        </w:rPr>
        <w:t>：</w:t>
      </w:r>
      <w:sdt>
        <w:sdtPr>
          <w:rPr>
            <w:rFonts w:hint="eastAsia"/>
          </w:rPr>
          <w:alias w:val="单位_利润表"/>
          <w:tag w:val="_GBC_c458a7ee993347b583c865690fab7fcd"/>
          <w:id w:val="20050924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t xml:space="preserve">  币种：</w:t>
      </w:r>
      <w:sdt>
        <w:sdtPr>
          <w:alias w:val="币种_利润表"/>
          <w:tag w:val="_GBC_664bb6405f3f4e13a1f5646c668dac4e"/>
          <w:id w:val="6278982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209229419"/>
          <w:placeholder>
            <w:docPart w:val="GBC22222222222222222222222222222"/>
          </w:placeholder>
          <w:comboBox>
            <w:listItem w:displayText="未经审计" w:value="false"/>
            <w:listItem w:displayText="经审计" w:value="true"/>
          </w:comboBox>
        </w:sdtPr>
        <w:sdtEndPr>
          <w:rPr>
            <w:rFonts w:hint="eastAsia"/>
          </w:rPr>
        </w:sdtEndPr>
        <w:sdtContent>
          <w:r>
            <w:rPr>
              <w:rFonts w:hint="eastAsia"/>
            </w:rPr>
            <w:t>未经审计</w:t>
          </w:r>
        </w:sdtContent>
      </w:sdt>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85"/>
        <w:gridCol w:w="2517"/>
        <w:gridCol w:w="2547"/>
      </w:tblGrid>
      <w:tr w14:paraId="50FE3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sdt>
          <w:sdtPr>
            <w:tag w:val="_PLD_00ad9cc3ebf343b48141b011d1c4a8ff"/>
            <w:id w:val="-450786852"/>
          </w:sdtPr>
          <w:sdtContent>
            <w:tc>
              <w:tcPr>
                <w:tcW w:w="2202" w:type="pct"/>
                <w:tcBorders>
                  <w:top w:val="outset" w:color="auto" w:sz="6" w:space="0"/>
                  <w:left w:val="outset" w:color="auto" w:sz="6" w:space="0"/>
                  <w:bottom w:val="outset" w:color="auto" w:sz="6" w:space="0"/>
                  <w:right w:val="outset" w:color="auto" w:sz="6" w:space="0"/>
                </w:tcBorders>
                <w:vAlign w:val="center"/>
              </w:tcPr>
              <w:p w14:paraId="06F97110">
                <w:pPr>
                  <w:ind w:left="40" w:hanging="39" w:hangingChars="19"/>
                  <w:jc w:val="center"/>
                  <w:rPr>
                    <w:b/>
                  </w:rPr>
                </w:pPr>
                <w:r>
                  <w:rPr>
                    <w:b/>
                  </w:rPr>
                  <w:t>项目</w:t>
                </w:r>
              </w:p>
            </w:tc>
          </w:sdtContent>
        </w:sdt>
        <w:sdt>
          <w:sdtPr>
            <w:tag w:val="_PLD_bef99f706319495cba4551771848216d"/>
            <w:id w:val="457774781"/>
          </w:sdtPr>
          <w:sdtContent>
            <w:tc>
              <w:tcPr>
                <w:tcW w:w="1391" w:type="pct"/>
                <w:tcBorders>
                  <w:top w:val="outset" w:color="auto" w:sz="6" w:space="0"/>
                  <w:left w:val="outset" w:color="auto" w:sz="6" w:space="0"/>
                  <w:bottom w:val="outset" w:color="auto" w:sz="6" w:space="0"/>
                  <w:right w:val="outset" w:color="auto" w:sz="6" w:space="0"/>
                </w:tcBorders>
                <w:vAlign w:val="center"/>
              </w:tcPr>
              <w:p w14:paraId="14853198">
                <w:pPr>
                  <w:jc w:val="center"/>
                  <w:rPr>
                    <w:b/>
                  </w:rPr>
                </w:pPr>
                <w:r>
                  <w:rPr>
                    <w:b/>
                  </w:rPr>
                  <w:t>2025</w:t>
                </w:r>
                <w:r>
                  <w:rPr>
                    <w:rFonts w:hint="eastAsia"/>
                    <w:b/>
                  </w:rPr>
                  <w:t>年前三季度</w:t>
                </w:r>
              </w:p>
              <w:p w14:paraId="7DA5D9ED">
                <w:pPr>
                  <w:jc w:val="center"/>
                  <w:rPr>
                    <w:b/>
                  </w:rPr>
                </w:pPr>
                <w:r>
                  <w:rPr>
                    <w:rFonts w:hint="eastAsia"/>
                    <w:b/>
                  </w:rPr>
                  <w:t>（</w:t>
                </w:r>
                <w:r>
                  <w:rPr>
                    <w:b/>
                  </w:rPr>
                  <w:t>1-9月）</w:t>
                </w:r>
              </w:p>
            </w:tc>
          </w:sdtContent>
        </w:sdt>
        <w:sdt>
          <w:sdtPr>
            <w:tag w:val="_PLD_fd20bc26cc1447778bcbf450785b97b7"/>
            <w:id w:val="-1775318417"/>
          </w:sdtPr>
          <w:sdtContent>
            <w:tc>
              <w:tcPr>
                <w:tcW w:w="1407" w:type="pct"/>
                <w:tcBorders>
                  <w:top w:val="outset" w:color="auto" w:sz="6" w:space="0"/>
                  <w:left w:val="outset" w:color="auto" w:sz="6" w:space="0"/>
                  <w:bottom w:val="outset" w:color="auto" w:sz="6" w:space="0"/>
                  <w:right w:val="outset" w:color="auto" w:sz="6" w:space="0"/>
                </w:tcBorders>
                <w:vAlign w:val="center"/>
              </w:tcPr>
              <w:p w14:paraId="531D5F25">
                <w:pPr>
                  <w:jc w:val="center"/>
                  <w:rPr>
                    <w:b/>
                  </w:rPr>
                </w:pPr>
                <w:r>
                  <w:rPr>
                    <w:b/>
                  </w:rPr>
                  <w:t>2024年</w:t>
                </w:r>
                <w:r>
                  <w:rPr>
                    <w:rFonts w:hint="eastAsia"/>
                    <w:b/>
                  </w:rPr>
                  <w:t>前三季度</w:t>
                </w:r>
              </w:p>
              <w:p w14:paraId="085A5EE6">
                <w:pPr>
                  <w:jc w:val="center"/>
                  <w:rPr>
                    <w:b/>
                  </w:rPr>
                </w:pPr>
                <w:r>
                  <w:rPr>
                    <w:rFonts w:hint="eastAsia"/>
                    <w:b/>
                  </w:rPr>
                  <w:t>（1-9月）</w:t>
                </w:r>
              </w:p>
            </w:tc>
          </w:sdtContent>
        </w:sdt>
      </w:tr>
      <w:tr w14:paraId="67666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668AE8D5">
            <w:r>
              <w:rPr>
                <w:rFonts w:hint="eastAsia"/>
              </w:rPr>
              <w:t>一、营业总收入</w:t>
            </w:r>
          </w:p>
        </w:tc>
        <w:tc>
          <w:tcPr>
            <w:tcW w:w="1391" w:type="pct"/>
            <w:tcBorders>
              <w:top w:val="outset" w:color="auto" w:sz="6" w:space="0"/>
              <w:left w:val="outset" w:color="auto" w:sz="6" w:space="0"/>
              <w:bottom w:val="outset" w:color="auto" w:sz="6" w:space="0"/>
              <w:right w:val="outset" w:color="auto" w:sz="6" w:space="0"/>
            </w:tcBorders>
            <w:vAlign w:val="center"/>
          </w:tcPr>
          <w:p w14:paraId="56698BBF">
            <w:pPr>
              <w:jc w:val="right"/>
            </w:pPr>
            <w:r>
              <w:t>2,179,588,480.01</w:t>
            </w:r>
          </w:p>
        </w:tc>
        <w:tc>
          <w:tcPr>
            <w:tcW w:w="1407" w:type="pct"/>
            <w:tcBorders>
              <w:top w:val="outset" w:color="auto" w:sz="6" w:space="0"/>
              <w:left w:val="outset" w:color="auto" w:sz="6" w:space="0"/>
              <w:bottom w:val="outset" w:color="auto" w:sz="6" w:space="0"/>
              <w:right w:val="outset" w:color="auto" w:sz="6" w:space="0"/>
            </w:tcBorders>
            <w:vAlign w:val="center"/>
          </w:tcPr>
          <w:p w14:paraId="0E0EAFFA">
            <w:pPr>
              <w:jc w:val="right"/>
            </w:pPr>
            <w:r>
              <w:t>1,447,720,331.65</w:t>
            </w:r>
          </w:p>
        </w:tc>
      </w:tr>
      <w:tr w14:paraId="22276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27F8352E">
            <w:r>
              <w:rPr>
                <w:rFonts w:hint="eastAsia"/>
              </w:rPr>
              <w:t>其中：营业收入</w:t>
            </w:r>
          </w:p>
        </w:tc>
        <w:tc>
          <w:tcPr>
            <w:tcW w:w="1391" w:type="pct"/>
            <w:tcBorders>
              <w:top w:val="outset" w:color="auto" w:sz="6" w:space="0"/>
              <w:left w:val="outset" w:color="auto" w:sz="6" w:space="0"/>
              <w:bottom w:val="outset" w:color="auto" w:sz="6" w:space="0"/>
              <w:right w:val="outset" w:color="auto" w:sz="6" w:space="0"/>
            </w:tcBorders>
            <w:vAlign w:val="center"/>
          </w:tcPr>
          <w:p w14:paraId="58E2DC2E">
            <w:pPr>
              <w:jc w:val="right"/>
            </w:pPr>
            <w:r>
              <w:t>2,179,588,480.01</w:t>
            </w:r>
          </w:p>
        </w:tc>
        <w:tc>
          <w:tcPr>
            <w:tcW w:w="1407" w:type="pct"/>
            <w:tcBorders>
              <w:top w:val="outset" w:color="auto" w:sz="6" w:space="0"/>
              <w:left w:val="outset" w:color="auto" w:sz="6" w:space="0"/>
              <w:bottom w:val="outset" w:color="auto" w:sz="6" w:space="0"/>
              <w:right w:val="outset" w:color="auto" w:sz="6" w:space="0"/>
            </w:tcBorders>
            <w:vAlign w:val="center"/>
          </w:tcPr>
          <w:p w14:paraId="7C3583D3">
            <w:pPr>
              <w:jc w:val="right"/>
            </w:pPr>
            <w:r>
              <w:t>1,447,720,331.65</w:t>
            </w:r>
          </w:p>
        </w:tc>
      </w:tr>
      <w:tr w14:paraId="1E8998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723C3DBE">
            <w:pPr>
              <w:ind w:firstLine="630" w:firstLineChars="300"/>
            </w:pPr>
            <w:r>
              <w:rPr>
                <w:rFonts w:hint="eastAsia"/>
              </w:rPr>
              <w:t>利息收入</w:t>
            </w:r>
          </w:p>
        </w:tc>
        <w:tc>
          <w:tcPr>
            <w:tcW w:w="1391" w:type="pct"/>
            <w:tcBorders>
              <w:top w:val="outset" w:color="auto" w:sz="6" w:space="0"/>
              <w:left w:val="outset" w:color="auto" w:sz="6" w:space="0"/>
              <w:bottom w:val="outset" w:color="auto" w:sz="6" w:space="0"/>
              <w:right w:val="outset" w:color="auto" w:sz="6" w:space="0"/>
            </w:tcBorders>
          </w:tcPr>
          <w:p w14:paraId="07CFDB2D">
            <w:pPr>
              <w:jc w:val="right"/>
            </w:pPr>
          </w:p>
        </w:tc>
        <w:tc>
          <w:tcPr>
            <w:tcW w:w="1407" w:type="pct"/>
            <w:tcBorders>
              <w:top w:val="outset" w:color="auto" w:sz="6" w:space="0"/>
              <w:left w:val="outset" w:color="auto" w:sz="6" w:space="0"/>
              <w:bottom w:val="outset" w:color="auto" w:sz="6" w:space="0"/>
              <w:right w:val="outset" w:color="auto" w:sz="6" w:space="0"/>
            </w:tcBorders>
          </w:tcPr>
          <w:p w14:paraId="194E08A0">
            <w:pPr>
              <w:jc w:val="right"/>
            </w:pPr>
          </w:p>
        </w:tc>
      </w:tr>
      <w:tr w14:paraId="3BE0B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1B01C68D">
            <w:pPr>
              <w:ind w:firstLine="630" w:firstLineChars="300"/>
            </w:pPr>
            <w:r>
              <w:rPr>
                <w:rFonts w:hint="eastAsia"/>
              </w:rPr>
              <w:t>已赚保费</w:t>
            </w:r>
          </w:p>
        </w:tc>
        <w:tc>
          <w:tcPr>
            <w:tcW w:w="1391" w:type="pct"/>
            <w:tcBorders>
              <w:top w:val="outset" w:color="auto" w:sz="6" w:space="0"/>
              <w:left w:val="outset" w:color="auto" w:sz="6" w:space="0"/>
              <w:bottom w:val="outset" w:color="auto" w:sz="6" w:space="0"/>
              <w:right w:val="outset" w:color="auto" w:sz="6" w:space="0"/>
            </w:tcBorders>
          </w:tcPr>
          <w:p w14:paraId="6D9CB200">
            <w:pPr>
              <w:jc w:val="right"/>
            </w:pPr>
          </w:p>
        </w:tc>
        <w:tc>
          <w:tcPr>
            <w:tcW w:w="1407" w:type="pct"/>
            <w:tcBorders>
              <w:top w:val="outset" w:color="auto" w:sz="6" w:space="0"/>
              <w:left w:val="outset" w:color="auto" w:sz="6" w:space="0"/>
              <w:bottom w:val="outset" w:color="auto" w:sz="6" w:space="0"/>
              <w:right w:val="outset" w:color="auto" w:sz="6" w:space="0"/>
            </w:tcBorders>
          </w:tcPr>
          <w:p w14:paraId="6CFD87FA">
            <w:pPr>
              <w:jc w:val="right"/>
            </w:pPr>
          </w:p>
        </w:tc>
      </w:tr>
      <w:tr w14:paraId="6727A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2C584176">
            <w:pPr>
              <w:ind w:firstLine="630" w:firstLineChars="300"/>
            </w:pPr>
            <w:r>
              <w:rPr>
                <w:rFonts w:hint="eastAsia"/>
              </w:rPr>
              <w:t>手续费及佣金收入</w:t>
            </w:r>
          </w:p>
        </w:tc>
        <w:tc>
          <w:tcPr>
            <w:tcW w:w="1391" w:type="pct"/>
            <w:tcBorders>
              <w:top w:val="outset" w:color="auto" w:sz="6" w:space="0"/>
              <w:left w:val="outset" w:color="auto" w:sz="6" w:space="0"/>
              <w:bottom w:val="outset" w:color="auto" w:sz="6" w:space="0"/>
              <w:right w:val="outset" w:color="auto" w:sz="6" w:space="0"/>
            </w:tcBorders>
          </w:tcPr>
          <w:p w14:paraId="29FA6B22">
            <w:pPr>
              <w:jc w:val="right"/>
            </w:pPr>
          </w:p>
        </w:tc>
        <w:tc>
          <w:tcPr>
            <w:tcW w:w="1407" w:type="pct"/>
            <w:tcBorders>
              <w:top w:val="outset" w:color="auto" w:sz="6" w:space="0"/>
              <w:left w:val="outset" w:color="auto" w:sz="6" w:space="0"/>
              <w:bottom w:val="outset" w:color="auto" w:sz="6" w:space="0"/>
              <w:right w:val="outset" w:color="auto" w:sz="6" w:space="0"/>
            </w:tcBorders>
          </w:tcPr>
          <w:p w14:paraId="6E44CEDA">
            <w:pPr>
              <w:jc w:val="right"/>
            </w:pPr>
          </w:p>
        </w:tc>
      </w:tr>
      <w:tr w14:paraId="27150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260D3C73">
            <w:r>
              <w:rPr>
                <w:rFonts w:hint="eastAsia"/>
              </w:rPr>
              <w:t>二、营业总成本</w:t>
            </w:r>
          </w:p>
        </w:tc>
        <w:tc>
          <w:tcPr>
            <w:tcW w:w="1391" w:type="pct"/>
            <w:tcBorders>
              <w:top w:val="outset" w:color="auto" w:sz="6" w:space="0"/>
              <w:left w:val="outset" w:color="auto" w:sz="6" w:space="0"/>
              <w:bottom w:val="outset" w:color="auto" w:sz="6" w:space="0"/>
              <w:right w:val="outset" w:color="auto" w:sz="6" w:space="0"/>
            </w:tcBorders>
            <w:vAlign w:val="center"/>
          </w:tcPr>
          <w:p w14:paraId="293705AE">
            <w:pPr>
              <w:jc w:val="right"/>
            </w:pPr>
            <w:r>
              <w:t>1,777,458,939.79</w:t>
            </w:r>
          </w:p>
        </w:tc>
        <w:tc>
          <w:tcPr>
            <w:tcW w:w="1407" w:type="pct"/>
            <w:tcBorders>
              <w:top w:val="outset" w:color="auto" w:sz="6" w:space="0"/>
              <w:left w:val="outset" w:color="auto" w:sz="6" w:space="0"/>
              <w:bottom w:val="outset" w:color="auto" w:sz="6" w:space="0"/>
              <w:right w:val="outset" w:color="auto" w:sz="6" w:space="0"/>
            </w:tcBorders>
            <w:vAlign w:val="center"/>
          </w:tcPr>
          <w:p w14:paraId="7FA9A1B4">
            <w:pPr>
              <w:jc w:val="right"/>
            </w:pPr>
            <w:r>
              <w:t>1,368,736,419.93</w:t>
            </w:r>
          </w:p>
        </w:tc>
      </w:tr>
      <w:tr w14:paraId="076EF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7383CFD">
            <w:r>
              <w:rPr>
                <w:rFonts w:hint="eastAsia"/>
              </w:rPr>
              <w:t>其中：营业成本</w:t>
            </w:r>
          </w:p>
        </w:tc>
        <w:tc>
          <w:tcPr>
            <w:tcW w:w="1391" w:type="pct"/>
            <w:tcBorders>
              <w:top w:val="outset" w:color="auto" w:sz="6" w:space="0"/>
              <w:left w:val="outset" w:color="auto" w:sz="6" w:space="0"/>
              <w:bottom w:val="outset" w:color="auto" w:sz="6" w:space="0"/>
              <w:right w:val="outset" w:color="auto" w:sz="6" w:space="0"/>
            </w:tcBorders>
            <w:vAlign w:val="center"/>
          </w:tcPr>
          <w:p w14:paraId="4707D267">
            <w:pPr>
              <w:jc w:val="right"/>
            </w:pPr>
            <w:r>
              <w:t>612,758,504.03</w:t>
            </w:r>
          </w:p>
        </w:tc>
        <w:tc>
          <w:tcPr>
            <w:tcW w:w="1407" w:type="pct"/>
            <w:tcBorders>
              <w:top w:val="outset" w:color="auto" w:sz="6" w:space="0"/>
              <w:left w:val="outset" w:color="auto" w:sz="6" w:space="0"/>
              <w:bottom w:val="outset" w:color="auto" w:sz="6" w:space="0"/>
              <w:right w:val="outset" w:color="auto" w:sz="6" w:space="0"/>
            </w:tcBorders>
            <w:vAlign w:val="center"/>
          </w:tcPr>
          <w:p w14:paraId="5989111D">
            <w:pPr>
              <w:jc w:val="right"/>
            </w:pPr>
            <w:r>
              <w:t>369,637,068.97</w:t>
            </w:r>
          </w:p>
        </w:tc>
      </w:tr>
      <w:tr w14:paraId="72F8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635F77A1">
            <w:pPr>
              <w:ind w:firstLine="630" w:firstLineChars="300"/>
            </w:pPr>
            <w:r>
              <w:rPr>
                <w:rFonts w:hint="eastAsia"/>
              </w:rPr>
              <w:t>利息支出</w:t>
            </w:r>
          </w:p>
        </w:tc>
        <w:tc>
          <w:tcPr>
            <w:tcW w:w="1391" w:type="pct"/>
            <w:tcBorders>
              <w:top w:val="outset" w:color="auto" w:sz="6" w:space="0"/>
              <w:left w:val="outset" w:color="auto" w:sz="6" w:space="0"/>
              <w:bottom w:val="outset" w:color="auto" w:sz="6" w:space="0"/>
              <w:right w:val="outset" w:color="auto" w:sz="6" w:space="0"/>
            </w:tcBorders>
          </w:tcPr>
          <w:p w14:paraId="1F69AD9E">
            <w:pPr>
              <w:jc w:val="right"/>
            </w:pPr>
          </w:p>
        </w:tc>
        <w:tc>
          <w:tcPr>
            <w:tcW w:w="1407" w:type="pct"/>
            <w:tcBorders>
              <w:top w:val="outset" w:color="auto" w:sz="6" w:space="0"/>
              <w:left w:val="outset" w:color="auto" w:sz="6" w:space="0"/>
              <w:bottom w:val="outset" w:color="auto" w:sz="6" w:space="0"/>
              <w:right w:val="outset" w:color="auto" w:sz="6" w:space="0"/>
            </w:tcBorders>
          </w:tcPr>
          <w:p w14:paraId="592E0013">
            <w:pPr>
              <w:jc w:val="right"/>
            </w:pPr>
          </w:p>
        </w:tc>
      </w:tr>
      <w:tr w14:paraId="20101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7E6A0955">
            <w:pPr>
              <w:ind w:firstLine="630" w:firstLineChars="300"/>
            </w:pPr>
            <w:r>
              <w:rPr>
                <w:rFonts w:hint="eastAsia"/>
              </w:rPr>
              <w:t>手续费及佣金支出</w:t>
            </w:r>
          </w:p>
        </w:tc>
        <w:tc>
          <w:tcPr>
            <w:tcW w:w="1391" w:type="pct"/>
            <w:tcBorders>
              <w:top w:val="outset" w:color="auto" w:sz="6" w:space="0"/>
              <w:left w:val="outset" w:color="auto" w:sz="6" w:space="0"/>
              <w:bottom w:val="outset" w:color="auto" w:sz="6" w:space="0"/>
              <w:right w:val="outset" w:color="auto" w:sz="6" w:space="0"/>
            </w:tcBorders>
          </w:tcPr>
          <w:p w14:paraId="072B0355">
            <w:pPr>
              <w:jc w:val="right"/>
            </w:pPr>
          </w:p>
        </w:tc>
        <w:tc>
          <w:tcPr>
            <w:tcW w:w="1407" w:type="pct"/>
            <w:tcBorders>
              <w:top w:val="outset" w:color="auto" w:sz="6" w:space="0"/>
              <w:left w:val="outset" w:color="auto" w:sz="6" w:space="0"/>
              <w:bottom w:val="outset" w:color="auto" w:sz="6" w:space="0"/>
              <w:right w:val="outset" w:color="auto" w:sz="6" w:space="0"/>
            </w:tcBorders>
          </w:tcPr>
          <w:p w14:paraId="296ACCA7">
            <w:pPr>
              <w:jc w:val="right"/>
            </w:pPr>
          </w:p>
        </w:tc>
      </w:tr>
      <w:tr w14:paraId="06888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7747CB43">
            <w:pPr>
              <w:ind w:firstLine="630" w:firstLineChars="300"/>
            </w:pPr>
            <w:r>
              <w:rPr>
                <w:rFonts w:hint="eastAsia"/>
              </w:rPr>
              <w:t>退保金</w:t>
            </w:r>
          </w:p>
        </w:tc>
        <w:tc>
          <w:tcPr>
            <w:tcW w:w="1391" w:type="pct"/>
            <w:tcBorders>
              <w:top w:val="outset" w:color="auto" w:sz="6" w:space="0"/>
              <w:left w:val="outset" w:color="auto" w:sz="6" w:space="0"/>
              <w:bottom w:val="outset" w:color="auto" w:sz="6" w:space="0"/>
              <w:right w:val="outset" w:color="auto" w:sz="6" w:space="0"/>
            </w:tcBorders>
          </w:tcPr>
          <w:p w14:paraId="121BD323">
            <w:pPr>
              <w:jc w:val="right"/>
            </w:pPr>
          </w:p>
        </w:tc>
        <w:tc>
          <w:tcPr>
            <w:tcW w:w="1407" w:type="pct"/>
            <w:tcBorders>
              <w:top w:val="outset" w:color="auto" w:sz="6" w:space="0"/>
              <w:left w:val="outset" w:color="auto" w:sz="6" w:space="0"/>
              <w:bottom w:val="outset" w:color="auto" w:sz="6" w:space="0"/>
              <w:right w:val="outset" w:color="auto" w:sz="6" w:space="0"/>
            </w:tcBorders>
          </w:tcPr>
          <w:p w14:paraId="75D7DDFF">
            <w:pPr>
              <w:jc w:val="right"/>
            </w:pPr>
          </w:p>
        </w:tc>
      </w:tr>
      <w:tr w14:paraId="2B3C8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C601404">
            <w:pPr>
              <w:ind w:firstLine="630" w:firstLineChars="300"/>
            </w:pPr>
            <w:r>
              <w:rPr>
                <w:rFonts w:hint="eastAsia"/>
              </w:rPr>
              <w:t>赔付支出净额</w:t>
            </w:r>
          </w:p>
        </w:tc>
        <w:tc>
          <w:tcPr>
            <w:tcW w:w="1391" w:type="pct"/>
            <w:tcBorders>
              <w:top w:val="outset" w:color="auto" w:sz="6" w:space="0"/>
              <w:left w:val="outset" w:color="auto" w:sz="6" w:space="0"/>
              <w:bottom w:val="outset" w:color="auto" w:sz="6" w:space="0"/>
              <w:right w:val="outset" w:color="auto" w:sz="6" w:space="0"/>
            </w:tcBorders>
          </w:tcPr>
          <w:p w14:paraId="13B9BBA5">
            <w:pPr>
              <w:jc w:val="right"/>
            </w:pPr>
          </w:p>
        </w:tc>
        <w:tc>
          <w:tcPr>
            <w:tcW w:w="1407" w:type="pct"/>
            <w:tcBorders>
              <w:top w:val="outset" w:color="auto" w:sz="6" w:space="0"/>
              <w:left w:val="outset" w:color="auto" w:sz="6" w:space="0"/>
              <w:bottom w:val="outset" w:color="auto" w:sz="6" w:space="0"/>
              <w:right w:val="outset" w:color="auto" w:sz="6" w:space="0"/>
            </w:tcBorders>
          </w:tcPr>
          <w:p w14:paraId="2414BEC1">
            <w:pPr>
              <w:jc w:val="right"/>
            </w:pPr>
          </w:p>
        </w:tc>
      </w:tr>
      <w:tr w14:paraId="52294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04E9226B">
            <w:pPr>
              <w:ind w:firstLine="630" w:firstLineChars="300"/>
            </w:pPr>
            <w:r>
              <w:rPr>
                <w:rFonts w:hint="eastAsia"/>
              </w:rPr>
              <w:t>提取保险责任准备金净额</w:t>
            </w:r>
          </w:p>
        </w:tc>
        <w:tc>
          <w:tcPr>
            <w:tcW w:w="1391" w:type="pct"/>
            <w:tcBorders>
              <w:top w:val="outset" w:color="auto" w:sz="6" w:space="0"/>
              <w:left w:val="outset" w:color="auto" w:sz="6" w:space="0"/>
              <w:bottom w:val="outset" w:color="auto" w:sz="6" w:space="0"/>
              <w:right w:val="outset" w:color="auto" w:sz="6" w:space="0"/>
            </w:tcBorders>
          </w:tcPr>
          <w:p w14:paraId="436DD6CF">
            <w:pPr>
              <w:jc w:val="right"/>
            </w:pPr>
          </w:p>
        </w:tc>
        <w:tc>
          <w:tcPr>
            <w:tcW w:w="1407" w:type="pct"/>
            <w:tcBorders>
              <w:top w:val="outset" w:color="auto" w:sz="6" w:space="0"/>
              <w:left w:val="outset" w:color="auto" w:sz="6" w:space="0"/>
              <w:bottom w:val="outset" w:color="auto" w:sz="6" w:space="0"/>
              <w:right w:val="outset" w:color="auto" w:sz="6" w:space="0"/>
            </w:tcBorders>
          </w:tcPr>
          <w:p w14:paraId="217701BE">
            <w:pPr>
              <w:jc w:val="right"/>
            </w:pPr>
          </w:p>
        </w:tc>
      </w:tr>
      <w:tr w14:paraId="050F2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0B33E495">
            <w:pPr>
              <w:ind w:firstLine="630" w:firstLineChars="300"/>
            </w:pPr>
            <w:r>
              <w:rPr>
                <w:rFonts w:hint="eastAsia"/>
              </w:rPr>
              <w:t>保单红利支出</w:t>
            </w:r>
          </w:p>
        </w:tc>
        <w:tc>
          <w:tcPr>
            <w:tcW w:w="1391" w:type="pct"/>
            <w:tcBorders>
              <w:top w:val="outset" w:color="auto" w:sz="6" w:space="0"/>
              <w:left w:val="outset" w:color="auto" w:sz="6" w:space="0"/>
              <w:bottom w:val="outset" w:color="auto" w:sz="6" w:space="0"/>
              <w:right w:val="outset" w:color="auto" w:sz="6" w:space="0"/>
            </w:tcBorders>
          </w:tcPr>
          <w:p w14:paraId="077F94A2">
            <w:pPr>
              <w:jc w:val="right"/>
            </w:pPr>
          </w:p>
        </w:tc>
        <w:tc>
          <w:tcPr>
            <w:tcW w:w="1407" w:type="pct"/>
            <w:tcBorders>
              <w:top w:val="outset" w:color="auto" w:sz="6" w:space="0"/>
              <w:left w:val="outset" w:color="auto" w:sz="6" w:space="0"/>
              <w:bottom w:val="outset" w:color="auto" w:sz="6" w:space="0"/>
              <w:right w:val="outset" w:color="auto" w:sz="6" w:space="0"/>
            </w:tcBorders>
          </w:tcPr>
          <w:p w14:paraId="272C6A92">
            <w:pPr>
              <w:jc w:val="right"/>
            </w:pPr>
          </w:p>
        </w:tc>
      </w:tr>
      <w:tr w14:paraId="4EFF0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68A88657">
            <w:pPr>
              <w:ind w:firstLine="630" w:firstLineChars="300"/>
            </w:pPr>
            <w:r>
              <w:rPr>
                <w:rFonts w:hint="eastAsia"/>
              </w:rPr>
              <w:t>分保费用</w:t>
            </w:r>
          </w:p>
        </w:tc>
        <w:tc>
          <w:tcPr>
            <w:tcW w:w="1391" w:type="pct"/>
            <w:tcBorders>
              <w:top w:val="outset" w:color="auto" w:sz="6" w:space="0"/>
              <w:left w:val="outset" w:color="auto" w:sz="6" w:space="0"/>
              <w:bottom w:val="outset" w:color="auto" w:sz="6" w:space="0"/>
              <w:right w:val="outset" w:color="auto" w:sz="6" w:space="0"/>
            </w:tcBorders>
          </w:tcPr>
          <w:p w14:paraId="4E2958E9">
            <w:pPr>
              <w:jc w:val="right"/>
            </w:pPr>
          </w:p>
        </w:tc>
        <w:tc>
          <w:tcPr>
            <w:tcW w:w="1407" w:type="pct"/>
            <w:tcBorders>
              <w:top w:val="outset" w:color="auto" w:sz="6" w:space="0"/>
              <w:left w:val="outset" w:color="auto" w:sz="6" w:space="0"/>
              <w:bottom w:val="outset" w:color="auto" w:sz="6" w:space="0"/>
              <w:right w:val="outset" w:color="auto" w:sz="6" w:space="0"/>
            </w:tcBorders>
          </w:tcPr>
          <w:p w14:paraId="55FE1341">
            <w:pPr>
              <w:jc w:val="right"/>
            </w:pPr>
          </w:p>
        </w:tc>
      </w:tr>
      <w:tr w14:paraId="72203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15234AB">
            <w:pPr>
              <w:ind w:firstLine="630" w:firstLineChars="300"/>
            </w:pPr>
            <w:r>
              <w:rPr>
                <w:rFonts w:hint="eastAsia"/>
              </w:rPr>
              <w:t>税金及附加</w:t>
            </w:r>
          </w:p>
        </w:tc>
        <w:tc>
          <w:tcPr>
            <w:tcW w:w="1391" w:type="pct"/>
            <w:tcBorders>
              <w:top w:val="outset" w:color="auto" w:sz="6" w:space="0"/>
              <w:left w:val="outset" w:color="auto" w:sz="6" w:space="0"/>
              <w:bottom w:val="outset" w:color="auto" w:sz="6" w:space="0"/>
              <w:right w:val="outset" w:color="auto" w:sz="6" w:space="0"/>
            </w:tcBorders>
            <w:vAlign w:val="center"/>
          </w:tcPr>
          <w:p w14:paraId="3973B521">
            <w:pPr>
              <w:jc w:val="right"/>
            </w:pPr>
            <w:r>
              <w:t>21,181,499.87</w:t>
            </w:r>
          </w:p>
        </w:tc>
        <w:tc>
          <w:tcPr>
            <w:tcW w:w="1407" w:type="pct"/>
            <w:tcBorders>
              <w:top w:val="outset" w:color="auto" w:sz="6" w:space="0"/>
              <w:left w:val="outset" w:color="auto" w:sz="6" w:space="0"/>
              <w:bottom w:val="outset" w:color="auto" w:sz="6" w:space="0"/>
              <w:right w:val="outset" w:color="auto" w:sz="6" w:space="0"/>
            </w:tcBorders>
            <w:vAlign w:val="center"/>
          </w:tcPr>
          <w:p w14:paraId="0C0BAC43">
            <w:pPr>
              <w:jc w:val="right"/>
            </w:pPr>
            <w:r>
              <w:t>9,167,892.45</w:t>
            </w:r>
          </w:p>
        </w:tc>
      </w:tr>
      <w:tr w14:paraId="198F5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EA584CB">
            <w:pPr>
              <w:ind w:firstLine="630" w:firstLineChars="300"/>
            </w:pPr>
            <w:r>
              <w:rPr>
                <w:rFonts w:hint="eastAsia"/>
              </w:rPr>
              <w:t>销售费用</w:t>
            </w:r>
          </w:p>
        </w:tc>
        <w:tc>
          <w:tcPr>
            <w:tcW w:w="1391" w:type="pct"/>
            <w:tcBorders>
              <w:top w:val="outset" w:color="auto" w:sz="6" w:space="0"/>
              <w:left w:val="outset" w:color="auto" w:sz="6" w:space="0"/>
              <w:bottom w:val="outset" w:color="auto" w:sz="6" w:space="0"/>
              <w:right w:val="outset" w:color="auto" w:sz="6" w:space="0"/>
            </w:tcBorders>
            <w:vAlign w:val="center"/>
          </w:tcPr>
          <w:p w14:paraId="29A598DA">
            <w:pPr>
              <w:jc w:val="right"/>
            </w:pPr>
            <w:r>
              <w:t>828,840,597.09</w:t>
            </w:r>
          </w:p>
        </w:tc>
        <w:tc>
          <w:tcPr>
            <w:tcW w:w="1407" w:type="pct"/>
            <w:tcBorders>
              <w:top w:val="outset" w:color="auto" w:sz="6" w:space="0"/>
              <w:left w:val="outset" w:color="auto" w:sz="6" w:space="0"/>
              <w:bottom w:val="outset" w:color="auto" w:sz="6" w:space="0"/>
              <w:right w:val="outset" w:color="auto" w:sz="6" w:space="0"/>
            </w:tcBorders>
            <w:vAlign w:val="center"/>
          </w:tcPr>
          <w:p w14:paraId="0DF7FDF5">
            <w:pPr>
              <w:jc w:val="right"/>
            </w:pPr>
            <w:r>
              <w:t>788,404,796.79</w:t>
            </w:r>
          </w:p>
        </w:tc>
      </w:tr>
      <w:tr w14:paraId="18A7B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7BCF7078">
            <w:pPr>
              <w:ind w:firstLine="630" w:firstLineChars="300"/>
            </w:pPr>
            <w:r>
              <w:rPr>
                <w:rFonts w:hint="eastAsia"/>
              </w:rPr>
              <w:t>管理费用</w:t>
            </w:r>
          </w:p>
        </w:tc>
        <w:tc>
          <w:tcPr>
            <w:tcW w:w="1391" w:type="pct"/>
            <w:tcBorders>
              <w:top w:val="outset" w:color="auto" w:sz="6" w:space="0"/>
              <w:left w:val="outset" w:color="auto" w:sz="6" w:space="0"/>
              <w:bottom w:val="outset" w:color="auto" w:sz="6" w:space="0"/>
              <w:right w:val="outset" w:color="auto" w:sz="6" w:space="0"/>
            </w:tcBorders>
            <w:vAlign w:val="center"/>
          </w:tcPr>
          <w:p w14:paraId="0DC744CF">
            <w:pPr>
              <w:jc w:val="right"/>
            </w:pPr>
            <w:r>
              <w:t>184,465,757.74</w:t>
            </w:r>
          </w:p>
        </w:tc>
        <w:tc>
          <w:tcPr>
            <w:tcW w:w="1407" w:type="pct"/>
            <w:tcBorders>
              <w:top w:val="outset" w:color="auto" w:sz="6" w:space="0"/>
              <w:left w:val="outset" w:color="auto" w:sz="6" w:space="0"/>
              <w:bottom w:val="outset" w:color="auto" w:sz="6" w:space="0"/>
              <w:right w:val="outset" w:color="auto" w:sz="6" w:space="0"/>
            </w:tcBorders>
            <w:vAlign w:val="center"/>
          </w:tcPr>
          <w:p w14:paraId="691ABA75">
            <w:pPr>
              <w:jc w:val="right"/>
            </w:pPr>
            <w:r>
              <w:t>123,582,522.45</w:t>
            </w:r>
          </w:p>
        </w:tc>
      </w:tr>
      <w:tr w14:paraId="24DC9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46622971">
            <w:pPr>
              <w:ind w:firstLine="630" w:firstLineChars="300"/>
            </w:pPr>
            <w:r>
              <w:rPr>
                <w:rFonts w:hint="eastAsia"/>
              </w:rPr>
              <w:t>研发费用</w:t>
            </w:r>
          </w:p>
        </w:tc>
        <w:tc>
          <w:tcPr>
            <w:tcW w:w="1391" w:type="pct"/>
            <w:tcBorders>
              <w:top w:val="outset" w:color="auto" w:sz="6" w:space="0"/>
              <w:left w:val="outset" w:color="auto" w:sz="6" w:space="0"/>
              <w:bottom w:val="outset" w:color="auto" w:sz="6" w:space="0"/>
              <w:right w:val="outset" w:color="auto" w:sz="6" w:space="0"/>
            </w:tcBorders>
            <w:vAlign w:val="center"/>
          </w:tcPr>
          <w:p w14:paraId="79955E1B">
            <w:pPr>
              <w:jc w:val="right"/>
            </w:pPr>
            <w:r>
              <w:t>116,429,133.17</w:t>
            </w:r>
          </w:p>
        </w:tc>
        <w:tc>
          <w:tcPr>
            <w:tcW w:w="1407" w:type="pct"/>
            <w:tcBorders>
              <w:top w:val="outset" w:color="auto" w:sz="6" w:space="0"/>
              <w:left w:val="outset" w:color="auto" w:sz="6" w:space="0"/>
              <w:bottom w:val="outset" w:color="auto" w:sz="6" w:space="0"/>
              <w:right w:val="outset" w:color="auto" w:sz="6" w:space="0"/>
            </w:tcBorders>
            <w:vAlign w:val="center"/>
          </w:tcPr>
          <w:p w14:paraId="680DD67E">
            <w:pPr>
              <w:jc w:val="right"/>
            </w:pPr>
            <w:r>
              <w:t>75,087,241.78</w:t>
            </w:r>
          </w:p>
        </w:tc>
      </w:tr>
      <w:tr w14:paraId="0E4C9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89723F5">
            <w:pPr>
              <w:ind w:firstLine="630" w:firstLineChars="300"/>
            </w:pPr>
            <w:r>
              <w:rPr>
                <w:rFonts w:hint="eastAsia"/>
              </w:rPr>
              <w:t>财务费用</w:t>
            </w:r>
          </w:p>
        </w:tc>
        <w:tc>
          <w:tcPr>
            <w:tcW w:w="1391" w:type="pct"/>
            <w:tcBorders>
              <w:top w:val="outset" w:color="auto" w:sz="6" w:space="0"/>
              <w:left w:val="outset" w:color="auto" w:sz="6" w:space="0"/>
              <w:bottom w:val="outset" w:color="auto" w:sz="6" w:space="0"/>
              <w:right w:val="outset" w:color="auto" w:sz="6" w:space="0"/>
            </w:tcBorders>
            <w:vAlign w:val="center"/>
          </w:tcPr>
          <w:p w14:paraId="261E2F24">
            <w:pPr>
              <w:jc w:val="right"/>
            </w:pPr>
            <w:r>
              <w:t>13,783,447.89</w:t>
            </w:r>
          </w:p>
        </w:tc>
        <w:tc>
          <w:tcPr>
            <w:tcW w:w="1407" w:type="pct"/>
            <w:tcBorders>
              <w:top w:val="outset" w:color="auto" w:sz="6" w:space="0"/>
              <w:left w:val="outset" w:color="auto" w:sz="6" w:space="0"/>
              <w:bottom w:val="outset" w:color="auto" w:sz="6" w:space="0"/>
              <w:right w:val="outset" w:color="auto" w:sz="6" w:space="0"/>
            </w:tcBorders>
            <w:vAlign w:val="center"/>
          </w:tcPr>
          <w:p w14:paraId="53E7C57E">
            <w:pPr>
              <w:jc w:val="right"/>
            </w:pPr>
            <w:r>
              <w:t>2,856,897.49</w:t>
            </w:r>
          </w:p>
        </w:tc>
      </w:tr>
      <w:tr w14:paraId="1FE6D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CA982C3">
            <w:pPr>
              <w:ind w:firstLine="630" w:firstLineChars="300"/>
            </w:pPr>
            <w:r>
              <w:rPr>
                <w:rFonts w:hint="eastAsia"/>
              </w:rPr>
              <w:t>其中：利息费用</w:t>
            </w:r>
          </w:p>
        </w:tc>
        <w:tc>
          <w:tcPr>
            <w:tcW w:w="1391" w:type="pct"/>
            <w:tcBorders>
              <w:top w:val="outset" w:color="auto" w:sz="6" w:space="0"/>
              <w:left w:val="outset" w:color="auto" w:sz="6" w:space="0"/>
              <w:bottom w:val="outset" w:color="auto" w:sz="6" w:space="0"/>
              <w:right w:val="outset" w:color="auto" w:sz="6" w:space="0"/>
            </w:tcBorders>
            <w:vAlign w:val="center"/>
          </w:tcPr>
          <w:p w14:paraId="457E494E">
            <w:pPr>
              <w:jc w:val="right"/>
            </w:pPr>
            <w:r>
              <w:t>16,698,298.96</w:t>
            </w:r>
          </w:p>
        </w:tc>
        <w:tc>
          <w:tcPr>
            <w:tcW w:w="1407" w:type="pct"/>
            <w:tcBorders>
              <w:top w:val="outset" w:color="auto" w:sz="6" w:space="0"/>
              <w:left w:val="outset" w:color="auto" w:sz="6" w:space="0"/>
              <w:bottom w:val="outset" w:color="auto" w:sz="6" w:space="0"/>
              <w:right w:val="outset" w:color="auto" w:sz="6" w:space="0"/>
            </w:tcBorders>
            <w:vAlign w:val="center"/>
          </w:tcPr>
          <w:p w14:paraId="4E6D5774">
            <w:pPr>
              <w:jc w:val="right"/>
            </w:pPr>
            <w:r>
              <w:t>9,268,477.15</w:t>
            </w:r>
          </w:p>
        </w:tc>
      </w:tr>
      <w:tr w14:paraId="0BCA1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703D2E60">
            <w:pPr>
              <w:ind w:firstLine="1260" w:firstLineChars="600"/>
            </w:pPr>
            <w:r>
              <w:rPr>
                <w:rFonts w:hint="eastAsia"/>
              </w:rPr>
              <w:t>利息收入</w:t>
            </w:r>
          </w:p>
        </w:tc>
        <w:tc>
          <w:tcPr>
            <w:tcW w:w="1391" w:type="pct"/>
            <w:tcBorders>
              <w:top w:val="outset" w:color="auto" w:sz="6" w:space="0"/>
              <w:left w:val="outset" w:color="auto" w:sz="6" w:space="0"/>
              <w:bottom w:val="outset" w:color="auto" w:sz="6" w:space="0"/>
              <w:right w:val="outset" w:color="auto" w:sz="6" w:space="0"/>
            </w:tcBorders>
            <w:vAlign w:val="center"/>
          </w:tcPr>
          <w:p w14:paraId="05D27968">
            <w:pPr>
              <w:jc w:val="right"/>
            </w:pPr>
            <w:r>
              <w:t>2,877,667.47</w:t>
            </w:r>
          </w:p>
        </w:tc>
        <w:tc>
          <w:tcPr>
            <w:tcW w:w="1407" w:type="pct"/>
            <w:tcBorders>
              <w:top w:val="outset" w:color="auto" w:sz="6" w:space="0"/>
              <w:left w:val="outset" w:color="auto" w:sz="6" w:space="0"/>
              <w:bottom w:val="outset" w:color="auto" w:sz="6" w:space="0"/>
              <w:right w:val="outset" w:color="auto" w:sz="6" w:space="0"/>
            </w:tcBorders>
            <w:vAlign w:val="center"/>
          </w:tcPr>
          <w:p w14:paraId="48C05932">
            <w:pPr>
              <w:jc w:val="right"/>
            </w:pPr>
            <w:r>
              <w:t>6,768,696.37</w:t>
            </w:r>
          </w:p>
        </w:tc>
      </w:tr>
      <w:tr w14:paraId="3EB5B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161D81AA">
            <w:pPr>
              <w:ind w:firstLine="210" w:firstLineChars="100"/>
            </w:pPr>
            <w:r>
              <w:rPr>
                <w:rFonts w:hint="eastAsia"/>
              </w:rPr>
              <w:t>加：其他收益</w:t>
            </w:r>
          </w:p>
        </w:tc>
        <w:tc>
          <w:tcPr>
            <w:tcW w:w="1391" w:type="pct"/>
            <w:tcBorders>
              <w:top w:val="outset" w:color="auto" w:sz="6" w:space="0"/>
              <w:left w:val="outset" w:color="auto" w:sz="6" w:space="0"/>
              <w:bottom w:val="outset" w:color="auto" w:sz="6" w:space="0"/>
              <w:right w:val="outset" w:color="auto" w:sz="6" w:space="0"/>
            </w:tcBorders>
            <w:vAlign w:val="center"/>
          </w:tcPr>
          <w:p w14:paraId="6BF7DE7F">
            <w:pPr>
              <w:jc w:val="right"/>
            </w:pPr>
            <w:r>
              <w:t>5,128,335.70</w:t>
            </w:r>
          </w:p>
        </w:tc>
        <w:tc>
          <w:tcPr>
            <w:tcW w:w="1407" w:type="pct"/>
            <w:tcBorders>
              <w:top w:val="outset" w:color="auto" w:sz="6" w:space="0"/>
              <w:left w:val="outset" w:color="auto" w:sz="6" w:space="0"/>
              <w:bottom w:val="outset" w:color="auto" w:sz="6" w:space="0"/>
              <w:right w:val="outset" w:color="auto" w:sz="6" w:space="0"/>
            </w:tcBorders>
            <w:vAlign w:val="center"/>
          </w:tcPr>
          <w:p w14:paraId="33F26D7E">
            <w:pPr>
              <w:jc w:val="right"/>
            </w:pPr>
            <w:r>
              <w:t>5,314,010.51</w:t>
            </w:r>
          </w:p>
        </w:tc>
      </w:tr>
      <w:tr w14:paraId="75453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427E4BBB">
            <w:pPr>
              <w:ind w:firstLine="630" w:firstLineChars="300"/>
            </w:pPr>
            <w:r>
              <w:rPr>
                <w:rFonts w:hint="eastAsia"/>
              </w:rPr>
              <w:t>投资收益（损失以“-”号填列）</w:t>
            </w:r>
          </w:p>
        </w:tc>
        <w:tc>
          <w:tcPr>
            <w:tcW w:w="1391" w:type="pct"/>
            <w:tcBorders>
              <w:top w:val="outset" w:color="auto" w:sz="6" w:space="0"/>
              <w:left w:val="outset" w:color="auto" w:sz="6" w:space="0"/>
              <w:bottom w:val="outset" w:color="auto" w:sz="6" w:space="0"/>
              <w:right w:val="outset" w:color="auto" w:sz="6" w:space="0"/>
            </w:tcBorders>
            <w:vAlign w:val="center"/>
          </w:tcPr>
          <w:p w14:paraId="16F0B011">
            <w:pPr>
              <w:jc w:val="right"/>
            </w:pPr>
            <w:r>
              <w:t>1,172,543,410.66</w:t>
            </w:r>
          </w:p>
        </w:tc>
        <w:tc>
          <w:tcPr>
            <w:tcW w:w="1407" w:type="pct"/>
            <w:tcBorders>
              <w:top w:val="outset" w:color="auto" w:sz="6" w:space="0"/>
              <w:left w:val="outset" w:color="auto" w:sz="6" w:space="0"/>
              <w:bottom w:val="outset" w:color="auto" w:sz="6" w:space="0"/>
              <w:right w:val="outset" w:color="auto" w:sz="6" w:space="0"/>
            </w:tcBorders>
            <w:vAlign w:val="center"/>
          </w:tcPr>
          <w:p w14:paraId="038FB86B">
            <w:pPr>
              <w:jc w:val="right"/>
            </w:pPr>
            <w:r>
              <w:t>88,862,833.72</w:t>
            </w:r>
          </w:p>
        </w:tc>
      </w:tr>
      <w:tr w14:paraId="24721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1FFBCDD9">
            <w:pPr>
              <w:ind w:firstLine="630" w:firstLineChars="300"/>
            </w:pPr>
            <w:r>
              <w:rPr>
                <w:rFonts w:hint="eastAsia"/>
              </w:rPr>
              <w:t>其中：对联营企业和合营企业的投资收益</w:t>
            </w:r>
          </w:p>
        </w:tc>
        <w:tc>
          <w:tcPr>
            <w:tcW w:w="1391" w:type="pct"/>
            <w:tcBorders>
              <w:top w:val="outset" w:color="auto" w:sz="6" w:space="0"/>
              <w:left w:val="outset" w:color="auto" w:sz="6" w:space="0"/>
              <w:bottom w:val="outset" w:color="auto" w:sz="6" w:space="0"/>
              <w:right w:val="outset" w:color="auto" w:sz="6" w:space="0"/>
            </w:tcBorders>
            <w:vAlign w:val="center"/>
          </w:tcPr>
          <w:p w14:paraId="4B791415">
            <w:pPr>
              <w:jc w:val="right"/>
            </w:pPr>
            <w:r>
              <w:t>72,931,586.68</w:t>
            </w:r>
          </w:p>
        </w:tc>
        <w:tc>
          <w:tcPr>
            <w:tcW w:w="1407" w:type="pct"/>
            <w:tcBorders>
              <w:top w:val="outset" w:color="auto" w:sz="6" w:space="0"/>
              <w:left w:val="outset" w:color="auto" w:sz="6" w:space="0"/>
              <w:bottom w:val="outset" w:color="auto" w:sz="6" w:space="0"/>
              <w:right w:val="outset" w:color="auto" w:sz="6" w:space="0"/>
            </w:tcBorders>
            <w:vAlign w:val="center"/>
          </w:tcPr>
          <w:p w14:paraId="750F8110">
            <w:pPr>
              <w:jc w:val="right"/>
            </w:pPr>
            <w:r>
              <w:t>86,528,656.10</w:t>
            </w:r>
          </w:p>
        </w:tc>
      </w:tr>
      <w:tr w14:paraId="2EF7B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C1E69B6">
            <w:pPr>
              <w:ind w:firstLine="1260" w:firstLineChars="600"/>
            </w:pPr>
            <w:r>
              <w:t>以摊余成本计量的金融资产终止确认收益</w:t>
            </w:r>
          </w:p>
        </w:tc>
        <w:tc>
          <w:tcPr>
            <w:tcW w:w="1391" w:type="pct"/>
            <w:tcBorders>
              <w:top w:val="outset" w:color="auto" w:sz="6" w:space="0"/>
              <w:left w:val="outset" w:color="auto" w:sz="6" w:space="0"/>
              <w:bottom w:val="outset" w:color="auto" w:sz="6" w:space="0"/>
              <w:right w:val="outset" w:color="auto" w:sz="6" w:space="0"/>
            </w:tcBorders>
          </w:tcPr>
          <w:p w14:paraId="26E9DD4A">
            <w:pPr>
              <w:jc w:val="right"/>
            </w:pPr>
          </w:p>
        </w:tc>
        <w:tc>
          <w:tcPr>
            <w:tcW w:w="1407" w:type="pct"/>
            <w:tcBorders>
              <w:top w:val="outset" w:color="auto" w:sz="6" w:space="0"/>
              <w:left w:val="outset" w:color="auto" w:sz="6" w:space="0"/>
              <w:bottom w:val="outset" w:color="auto" w:sz="6" w:space="0"/>
              <w:right w:val="outset" w:color="auto" w:sz="6" w:space="0"/>
            </w:tcBorders>
          </w:tcPr>
          <w:p w14:paraId="42D6C664">
            <w:pPr>
              <w:jc w:val="right"/>
            </w:pPr>
          </w:p>
        </w:tc>
      </w:tr>
      <w:tr w14:paraId="60322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55FEF83">
            <w:pPr>
              <w:ind w:firstLine="630" w:firstLineChars="300"/>
            </w:pPr>
            <w:r>
              <w:rPr>
                <w:rFonts w:hint="eastAsia"/>
              </w:rPr>
              <w:t>汇兑收益（损失以“-”号填列）</w:t>
            </w:r>
          </w:p>
        </w:tc>
        <w:tc>
          <w:tcPr>
            <w:tcW w:w="1391" w:type="pct"/>
            <w:tcBorders>
              <w:top w:val="outset" w:color="auto" w:sz="6" w:space="0"/>
              <w:left w:val="outset" w:color="auto" w:sz="6" w:space="0"/>
              <w:bottom w:val="outset" w:color="auto" w:sz="6" w:space="0"/>
              <w:right w:val="outset" w:color="auto" w:sz="6" w:space="0"/>
            </w:tcBorders>
          </w:tcPr>
          <w:p w14:paraId="51697568">
            <w:pPr>
              <w:jc w:val="right"/>
            </w:pPr>
          </w:p>
        </w:tc>
        <w:tc>
          <w:tcPr>
            <w:tcW w:w="1407" w:type="pct"/>
            <w:tcBorders>
              <w:top w:val="outset" w:color="auto" w:sz="6" w:space="0"/>
              <w:left w:val="outset" w:color="auto" w:sz="6" w:space="0"/>
              <w:bottom w:val="outset" w:color="auto" w:sz="6" w:space="0"/>
              <w:right w:val="outset" w:color="auto" w:sz="6" w:space="0"/>
            </w:tcBorders>
          </w:tcPr>
          <w:p w14:paraId="21C87758">
            <w:pPr>
              <w:jc w:val="right"/>
            </w:pPr>
          </w:p>
        </w:tc>
      </w:tr>
      <w:tr w14:paraId="173CE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140913B0">
            <w:pPr>
              <w:ind w:firstLine="630" w:firstLineChars="300"/>
            </w:pPr>
            <w:r>
              <w:rPr>
                <w:rFonts w:hint="eastAsia"/>
              </w:rPr>
              <w:t>净敞口套期收益（损失以“-”号填列）</w:t>
            </w:r>
          </w:p>
        </w:tc>
        <w:tc>
          <w:tcPr>
            <w:tcW w:w="1391" w:type="pct"/>
            <w:tcBorders>
              <w:top w:val="outset" w:color="auto" w:sz="6" w:space="0"/>
              <w:left w:val="outset" w:color="auto" w:sz="6" w:space="0"/>
              <w:bottom w:val="outset" w:color="auto" w:sz="6" w:space="0"/>
              <w:right w:val="outset" w:color="auto" w:sz="6" w:space="0"/>
            </w:tcBorders>
          </w:tcPr>
          <w:p w14:paraId="00F1C225">
            <w:pPr>
              <w:jc w:val="right"/>
            </w:pPr>
          </w:p>
        </w:tc>
        <w:tc>
          <w:tcPr>
            <w:tcW w:w="1407" w:type="pct"/>
            <w:tcBorders>
              <w:top w:val="outset" w:color="auto" w:sz="6" w:space="0"/>
              <w:left w:val="outset" w:color="auto" w:sz="6" w:space="0"/>
              <w:bottom w:val="outset" w:color="auto" w:sz="6" w:space="0"/>
              <w:right w:val="outset" w:color="auto" w:sz="6" w:space="0"/>
            </w:tcBorders>
          </w:tcPr>
          <w:p w14:paraId="74DC4BFD">
            <w:pPr>
              <w:jc w:val="right"/>
            </w:pPr>
          </w:p>
        </w:tc>
      </w:tr>
      <w:tr w14:paraId="591F5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79A25E7E">
            <w:pPr>
              <w:ind w:firstLine="630" w:firstLineChars="300"/>
            </w:pPr>
            <w:r>
              <w:rPr>
                <w:rFonts w:hint="eastAsia"/>
              </w:rPr>
              <w:t>公允价值变动收益（损失以“-”号填列）</w:t>
            </w:r>
          </w:p>
        </w:tc>
        <w:tc>
          <w:tcPr>
            <w:tcW w:w="1391" w:type="pct"/>
            <w:tcBorders>
              <w:top w:val="outset" w:color="auto" w:sz="6" w:space="0"/>
              <w:left w:val="outset" w:color="auto" w:sz="6" w:space="0"/>
              <w:bottom w:val="outset" w:color="auto" w:sz="6" w:space="0"/>
              <w:right w:val="outset" w:color="auto" w:sz="6" w:space="0"/>
            </w:tcBorders>
            <w:vAlign w:val="center"/>
          </w:tcPr>
          <w:p w14:paraId="7F85B0A4">
            <w:pPr>
              <w:jc w:val="right"/>
            </w:pPr>
            <w:r>
              <w:t>-400,927.52</w:t>
            </w:r>
          </w:p>
        </w:tc>
        <w:tc>
          <w:tcPr>
            <w:tcW w:w="1407" w:type="pct"/>
            <w:tcBorders>
              <w:top w:val="outset" w:color="auto" w:sz="6" w:space="0"/>
              <w:left w:val="outset" w:color="auto" w:sz="6" w:space="0"/>
              <w:bottom w:val="outset" w:color="auto" w:sz="6" w:space="0"/>
              <w:right w:val="outset" w:color="auto" w:sz="6" w:space="0"/>
            </w:tcBorders>
            <w:vAlign w:val="center"/>
          </w:tcPr>
          <w:p w14:paraId="23CE82A9">
            <w:pPr>
              <w:jc w:val="right"/>
            </w:pPr>
          </w:p>
        </w:tc>
      </w:tr>
      <w:tr w14:paraId="17DC7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6147DB39">
            <w:pPr>
              <w:ind w:firstLine="630" w:firstLineChars="300"/>
            </w:pPr>
            <w:r>
              <w:rPr>
                <w:rFonts w:hint="eastAsia"/>
              </w:rPr>
              <w:t>信用减值损失（损失以“-”号填列）</w:t>
            </w:r>
          </w:p>
        </w:tc>
        <w:tc>
          <w:tcPr>
            <w:tcW w:w="1391" w:type="pct"/>
            <w:tcBorders>
              <w:top w:val="outset" w:color="auto" w:sz="6" w:space="0"/>
              <w:left w:val="outset" w:color="auto" w:sz="6" w:space="0"/>
              <w:bottom w:val="outset" w:color="auto" w:sz="6" w:space="0"/>
              <w:right w:val="outset" w:color="auto" w:sz="6" w:space="0"/>
            </w:tcBorders>
            <w:vAlign w:val="center"/>
          </w:tcPr>
          <w:p w14:paraId="608DBFCC">
            <w:pPr>
              <w:jc w:val="right"/>
            </w:pPr>
            <w:r>
              <w:t>3,758,923.49</w:t>
            </w:r>
          </w:p>
        </w:tc>
        <w:tc>
          <w:tcPr>
            <w:tcW w:w="1407" w:type="pct"/>
            <w:tcBorders>
              <w:top w:val="outset" w:color="auto" w:sz="6" w:space="0"/>
              <w:left w:val="outset" w:color="auto" w:sz="6" w:space="0"/>
              <w:bottom w:val="outset" w:color="auto" w:sz="6" w:space="0"/>
              <w:right w:val="outset" w:color="auto" w:sz="6" w:space="0"/>
            </w:tcBorders>
            <w:vAlign w:val="center"/>
          </w:tcPr>
          <w:p w14:paraId="10731776">
            <w:pPr>
              <w:jc w:val="right"/>
            </w:pPr>
            <w:r>
              <w:t>13,060,971.72</w:t>
            </w:r>
          </w:p>
        </w:tc>
      </w:tr>
      <w:tr w14:paraId="51218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6EDF3D6">
            <w:pPr>
              <w:ind w:firstLine="630" w:firstLineChars="300"/>
            </w:pPr>
            <w:r>
              <w:rPr>
                <w:rFonts w:hint="eastAsia"/>
              </w:rPr>
              <w:t>资产减值损失（损失以“-”号填列）</w:t>
            </w:r>
          </w:p>
        </w:tc>
        <w:tc>
          <w:tcPr>
            <w:tcW w:w="1391" w:type="pct"/>
            <w:tcBorders>
              <w:top w:val="outset" w:color="auto" w:sz="6" w:space="0"/>
              <w:left w:val="outset" w:color="auto" w:sz="6" w:space="0"/>
              <w:bottom w:val="outset" w:color="auto" w:sz="6" w:space="0"/>
              <w:right w:val="outset" w:color="auto" w:sz="6" w:space="0"/>
            </w:tcBorders>
            <w:vAlign w:val="center"/>
          </w:tcPr>
          <w:p w14:paraId="1859337F">
            <w:pPr>
              <w:jc w:val="right"/>
            </w:pPr>
            <w:r>
              <w:t>-90,410,001.39</w:t>
            </w:r>
          </w:p>
        </w:tc>
        <w:tc>
          <w:tcPr>
            <w:tcW w:w="1407" w:type="pct"/>
            <w:tcBorders>
              <w:top w:val="outset" w:color="auto" w:sz="6" w:space="0"/>
              <w:left w:val="outset" w:color="auto" w:sz="6" w:space="0"/>
              <w:bottom w:val="outset" w:color="auto" w:sz="6" w:space="0"/>
              <w:right w:val="outset" w:color="auto" w:sz="6" w:space="0"/>
            </w:tcBorders>
            <w:vAlign w:val="center"/>
          </w:tcPr>
          <w:p w14:paraId="0308F8FC">
            <w:pPr>
              <w:jc w:val="right"/>
            </w:pPr>
            <w:r>
              <w:t>-64,854,660.83</w:t>
            </w:r>
          </w:p>
        </w:tc>
      </w:tr>
      <w:tr w14:paraId="27166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217CD736">
            <w:pPr>
              <w:ind w:firstLine="630" w:firstLineChars="300"/>
            </w:pPr>
            <w:r>
              <w:rPr>
                <w:rFonts w:hint="eastAsia"/>
              </w:rPr>
              <w:t>资产处置收益（损失以“-”号填列）</w:t>
            </w:r>
          </w:p>
        </w:tc>
        <w:tc>
          <w:tcPr>
            <w:tcW w:w="1391" w:type="pct"/>
            <w:tcBorders>
              <w:top w:val="outset" w:color="auto" w:sz="6" w:space="0"/>
              <w:left w:val="outset" w:color="auto" w:sz="6" w:space="0"/>
              <w:bottom w:val="outset" w:color="auto" w:sz="6" w:space="0"/>
              <w:right w:val="outset" w:color="auto" w:sz="6" w:space="0"/>
            </w:tcBorders>
            <w:vAlign w:val="center"/>
          </w:tcPr>
          <w:p w14:paraId="70F2B86A">
            <w:pPr>
              <w:jc w:val="right"/>
            </w:pPr>
            <w:r>
              <w:t>7,969.07</w:t>
            </w:r>
          </w:p>
        </w:tc>
        <w:tc>
          <w:tcPr>
            <w:tcW w:w="1407" w:type="pct"/>
            <w:tcBorders>
              <w:top w:val="outset" w:color="auto" w:sz="6" w:space="0"/>
              <w:left w:val="outset" w:color="auto" w:sz="6" w:space="0"/>
              <w:bottom w:val="outset" w:color="auto" w:sz="6" w:space="0"/>
              <w:right w:val="outset" w:color="auto" w:sz="6" w:space="0"/>
            </w:tcBorders>
            <w:vAlign w:val="center"/>
          </w:tcPr>
          <w:p w14:paraId="1FC21DD9">
            <w:pPr>
              <w:jc w:val="right"/>
            </w:pPr>
            <w:r>
              <w:t>15,525,722.46</w:t>
            </w:r>
          </w:p>
        </w:tc>
      </w:tr>
      <w:tr w14:paraId="00DCD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03A9DEA1">
            <w:r>
              <w:rPr>
                <w:rFonts w:hint="eastAsia"/>
              </w:rPr>
              <w:t>三、营业利润（亏损以“-”号填列）</w:t>
            </w:r>
          </w:p>
        </w:tc>
        <w:tc>
          <w:tcPr>
            <w:tcW w:w="1391" w:type="pct"/>
            <w:tcBorders>
              <w:top w:val="outset" w:color="auto" w:sz="6" w:space="0"/>
              <w:left w:val="outset" w:color="auto" w:sz="6" w:space="0"/>
              <w:bottom w:val="outset" w:color="auto" w:sz="6" w:space="0"/>
              <w:right w:val="outset" w:color="auto" w:sz="6" w:space="0"/>
            </w:tcBorders>
            <w:vAlign w:val="center"/>
          </w:tcPr>
          <w:p w14:paraId="74A2AB8D">
            <w:pPr>
              <w:jc w:val="right"/>
            </w:pPr>
            <w:r>
              <w:t>1,492,757,250.23</w:t>
            </w:r>
          </w:p>
        </w:tc>
        <w:tc>
          <w:tcPr>
            <w:tcW w:w="1407" w:type="pct"/>
            <w:tcBorders>
              <w:top w:val="outset" w:color="auto" w:sz="6" w:space="0"/>
              <w:left w:val="outset" w:color="auto" w:sz="6" w:space="0"/>
              <w:bottom w:val="outset" w:color="auto" w:sz="6" w:space="0"/>
              <w:right w:val="outset" w:color="auto" w:sz="6" w:space="0"/>
            </w:tcBorders>
            <w:vAlign w:val="center"/>
          </w:tcPr>
          <w:p w14:paraId="6BA9C319">
            <w:pPr>
              <w:jc w:val="right"/>
            </w:pPr>
            <w:r>
              <w:t>136,892,789.30</w:t>
            </w:r>
          </w:p>
        </w:tc>
      </w:tr>
      <w:tr w14:paraId="16DB2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10CB3C2E">
            <w:pPr>
              <w:ind w:firstLine="210" w:firstLineChars="100"/>
            </w:pPr>
            <w:r>
              <w:rPr>
                <w:rFonts w:hint="eastAsia"/>
              </w:rPr>
              <w:t>加：营业外收入</w:t>
            </w:r>
          </w:p>
        </w:tc>
        <w:tc>
          <w:tcPr>
            <w:tcW w:w="1391" w:type="pct"/>
            <w:tcBorders>
              <w:top w:val="outset" w:color="auto" w:sz="6" w:space="0"/>
              <w:left w:val="outset" w:color="auto" w:sz="6" w:space="0"/>
              <w:bottom w:val="outset" w:color="auto" w:sz="6" w:space="0"/>
              <w:right w:val="outset" w:color="auto" w:sz="6" w:space="0"/>
            </w:tcBorders>
            <w:vAlign w:val="center"/>
          </w:tcPr>
          <w:p w14:paraId="08196DA5">
            <w:pPr>
              <w:jc w:val="right"/>
            </w:pPr>
            <w:r>
              <w:t>212,271.80</w:t>
            </w:r>
          </w:p>
        </w:tc>
        <w:tc>
          <w:tcPr>
            <w:tcW w:w="1407" w:type="pct"/>
            <w:tcBorders>
              <w:top w:val="outset" w:color="auto" w:sz="6" w:space="0"/>
              <w:left w:val="outset" w:color="auto" w:sz="6" w:space="0"/>
              <w:bottom w:val="outset" w:color="auto" w:sz="6" w:space="0"/>
              <w:right w:val="outset" w:color="auto" w:sz="6" w:space="0"/>
            </w:tcBorders>
            <w:vAlign w:val="center"/>
          </w:tcPr>
          <w:p w14:paraId="25980CF1">
            <w:pPr>
              <w:jc w:val="right"/>
            </w:pPr>
            <w:r>
              <w:t>3,993,974.43</w:t>
            </w:r>
          </w:p>
        </w:tc>
      </w:tr>
      <w:tr w14:paraId="35343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29ABC4C0">
            <w:pPr>
              <w:ind w:firstLine="210" w:firstLineChars="100"/>
            </w:pPr>
            <w:r>
              <w:rPr>
                <w:rFonts w:hint="eastAsia"/>
              </w:rPr>
              <w:t>减：营业外支出</w:t>
            </w:r>
          </w:p>
        </w:tc>
        <w:tc>
          <w:tcPr>
            <w:tcW w:w="1391" w:type="pct"/>
            <w:tcBorders>
              <w:top w:val="outset" w:color="auto" w:sz="6" w:space="0"/>
              <w:left w:val="outset" w:color="auto" w:sz="6" w:space="0"/>
              <w:bottom w:val="outset" w:color="auto" w:sz="6" w:space="0"/>
              <w:right w:val="outset" w:color="auto" w:sz="6" w:space="0"/>
            </w:tcBorders>
            <w:vAlign w:val="center"/>
          </w:tcPr>
          <w:p w14:paraId="36E9B9A6">
            <w:pPr>
              <w:jc w:val="right"/>
            </w:pPr>
            <w:r>
              <w:t>52,405,743.38</w:t>
            </w:r>
          </w:p>
        </w:tc>
        <w:tc>
          <w:tcPr>
            <w:tcW w:w="1407" w:type="pct"/>
            <w:tcBorders>
              <w:top w:val="outset" w:color="auto" w:sz="6" w:space="0"/>
              <w:left w:val="outset" w:color="auto" w:sz="6" w:space="0"/>
              <w:bottom w:val="outset" w:color="auto" w:sz="6" w:space="0"/>
              <w:right w:val="outset" w:color="auto" w:sz="6" w:space="0"/>
            </w:tcBorders>
            <w:vAlign w:val="center"/>
          </w:tcPr>
          <w:p w14:paraId="483A2635">
            <w:pPr>
              <w:jc w:val="right"/>
            </w:pPr>
            <w:r>
              <w:t>256,049,392.45</w:t>
            </w:r>
          </w:p>
        </w:tc>
      </w:tr>
      <w:tr w14:paraId="72E68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45868846">
            <w:r>
              <w:rPr>
                <w:rFonts w:hint="eastAsia"/>
              </w:rPr>
              <w:t>四、利润总额（亏损总额以</w:t>
            </w:r>
            <w:r>
              <w:t>“</w:t>
            </w:r>
            <w:r>
              <w:rPr>
                <w:rFonts w:hint="eastAsia"/>
              </w:rPr>
              <w:t>-</w:t>
            </w:r>
            <w:r>
              <w:t>”</w:t>
            </w:r>
            <w:r>
              <w:rPr>
                <w:rFonts w:hint="eastAsia"/>
              </w:rPr>
              <w:t>号填列）</w:t>
            </w:r>
          </w:p>
        </w:tc>
        <w:tc>
          <w:tcPr>
            <w:tcW w:w="1391" w:type="pct"/>
            <w:tcBorders>
              <w:top w:val="outset" w:color="auto" w:sz="6" w:space="0"/>
              <w:left w:val="outset" w:color="auto" w:sz="6" w:space="0"/>
              <w:bottom w:val="outset" w:color="auto" w:sz="6" w:space="0"/>
              <w:right w:val="outset" w:color="auto" w:sz="6" w:space="0"/>
            </w:tcBorders>
            <w:vAlign w:val="center"/>
          </w:tcPr>
          <w:p w14:paraId="4A97BA16">
            <w:pPr>
              <w:jc w:val="right"/>
            </w:pPr>
            <w:r>
              <w:t>1,440,563,778.65</w:t>
            </w:r>
          </w:p>
        </w:tc>
        <w:tc>
          <w:tcPr>
            <w:tcW w:w="1407" w:type="pct"/>
            <w:tcBorders>
              <w:top w:val="outset" w:color="auto" w:sz="6" w:space="0"/>
              <w:left w:val="outset" w:color="auto" w:sz="6" w:space="0"/>
              <w:bottom w:val="outset" w:color="auto" w:sz="6" w:space="0"/>
              <w:right w:val="outset" w:color="auto" w:sz="6" w:space="0"/>
            </w:tcBorders>
            <w:vAlign w:val="center"/>
          </w:tcPr>
          <w:p w14:paraId="48DB9BEF">
            <w:pPr>
              <w:jc w:val="right"/>
            </w:pPr>
            <w:r>
              <w:t>-115,162,628.72</w:t>
            </w:r>
          </w:p>
        </w:tc>
      </w:tr>
      <w:tr w14:paraId="4772C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69EEA500">
            <w:pPr>
              <w:ind w:firstLine="210" w:firstLineChars="100"/>
            </w:pPr>
            <w:r>
              <w:rPr>
                <w:rFonts w:hint="eastAsia"/>
              </w:rPr>
              <w:t>减：所得税费用</w:t>
            </w:r>
          </w:p>
        </w:tc>
        <w:tc>
          <w:tcPr>
            <w:tcW w:w="1391" w:type="pct"/>
            <w:tcBorders>
              <w:top w:val="outset" w:color="auto" w:sz="6" w:space="0"/>
              <w:left w:val="outset" w:color="auto" w:sz="6" w:space="0"/>
              <w:bottom w:val="outset" w:color="auto" w:sz="6" w:space="0"/>
              <w:right w:val="outset" w:color="auto" w:sz="6" w:space="0"/>
            </w:tcBorders>
            <w:vAlign w:val="center"/>
          </w:tcPr>
          <w:p w14:paraId="5DAEFA85">
            <w:pPr>
              <w:jc w:val="right"/>
            </w:pPr>
            <w:r>
              <w:t>252,683,847.77</w:t>
            </w:r>
          </w:p>
        </w:tc>
        <w:tc>
          <w:tcPr>
            <w:tcW w:w="1407" w:type="pct"/>
            <w:tcBorders>
              <w:top w:val="outset" w:color="auto" w:sz="6" w:space="0"/>
              <w:left w:val="outset" w:color="auto" w:sz="6" w:space="0"/>
              <w:bottom w:val="outset" w:color="auto" w:sz="6" w:space="0"/>
              <w:right w:val="outset" w:color="auto" w:sz="6" w:space="0"/>
            </w:tcBorders>
            <w:vAlign w:val="center"/>
          </w:tcPr>
          <w:p w14:paraId="00CBBDB4">
            <w:pPr>
              <w:jc w:val="right"/>
            </w:pPr>
            <w:r>
              <w:t>-48,728,653.06</w:t>
            </w:r>
          </w:p>
        </w:tc>
      </w:tr>
      <w:tr w14:paraId="35DE8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2E42EADD">
            <w:r>
              <w:rPr>
                <w:rFonts w:hint="eastAsia"/>
              </w:rPr>
              <w:t>五、净利润（净亏损以</w:t>
            </w:r>
            <w:r>
              <w:t>“</w:t>
            </w:r>
            <w:r>
              <w:rPr>
                <w:rFonts w:hint="eastAsia"/>
              </w:rPr>
              <w:t>-</w:t>
            </w:r>
            <w:r>
              <w:t>”</w:t>
            </w:r>
            <w:r>
              <w:rPr>
                <w:rFonts w:hint="eastAsia"/>
              </w:rPr>
              <w:t>号填列）</w:t>
            </w:r>
          </w:p>
        </w:tc>
        <w:tc>
          <w:tcPr>
            <w:tcW w:w="1391" w:type="pct"/>
            <w:tcBorders>
              <w:top w:val="outset" w:color="auto" w:sz="6" w:space="0"/>
              <w:left w:val="outset" w:color="auto" w:sz="6" w:space="0"/>
              <w:bottom w:val="outset" w:color="auto" w:sz="6" w:space="0"/>
              <w:right w:val="outset" w:color="auto" w:sz="6" w:space="0"/>
            </w:tcBorders>
            <w:vAlign w:val="center"/>
          </w:tcPr>
          <w:p w14:paraId="52007309">
            <w:pPr>
              <w:jc w:val="right"/>
            </w:pPr>
            <w:r>
              <w:t>1,187,879,930.88</w:t>
            </w:r>
          </w:p>
        </w:tc>
        <w:tc>
          <w:tcPr>
            <w:tcW w:w="1407" w:type="pct"/>
            <w:tcBorders>
              <w:top w:val="outset" w:color="auto" w:sz="6" w:space="0"/>
              <w:left w:val="outset" w:color="auto" w:sz="6" w:space="0"/>
              <w:bottom w:val="outset" w:color="auto" w:sz="6" w:space="0"/>
              <w:right w:val="outset" w:color="auto" w:sz="6" w:space="0"/>
            </w:tcBorders>
            <w:vAlign w:val="center"/>
          </w:tcPr>
          <w:p w14:paraId="436C1C61">
            <w:pPr>
              <w:jc w:val="right"/>
            </w:pPr>
            <w:r>
              <w:t>-66,433,975.66</w:t>
            </w:r>
          </w:p>
        </w:tc>
      </w:tr>
      <w:tr w14:paraId="22DFD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3"/>
            <w:tcBorders>
              <w:top w:val="outset" w:color="auto" w:sz="6" w:space="0"/>
              <w:left w:val="outset" w:color="auto" w:sz="6" w:space="0"/>
              <w:bottom w:val="outset" w:color="auto" w:sz="6" w:space="0"/>
              <w:right w:val="outset" w:color="auto" w:sz="6" w:space="0"/>
            </w:tcBorders>
            <w:vAlign w:val="center"/>
          </w:tcPr>
          <w:sdt>
            <w:sdtPr>
              <w:tag w:val="_PLD_8f662bf4953b40c4b110dcc8b7ca48d7"/>
              <w:id w:val="1938935365"/>
            </w:sdtPr>
            <w:sdtContent>
              <w:p w14:paraId="367A0F54">
                <w:r>
                  <w:rPr>
                    <w:rFonts w:hint="eastAsia"/>
                  </w:rPr>
                  <w:t>（一）按经营持续性分类</w:t>
                </w:r>
              </w:p>
            </w:sdtContent>
          </w:sdt>
        </w:tc>
      </w:tr>
      <w:tr w14:paraId="0A246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212498A1">
            <w:pPr>
              <w:ind w:firstLine="567" w:firstLineChars="270"/>
            </w:pPr>
            <w:r>
              <w:t>1.持续经营净利润（净亏损以“</w:t>
            </w:r>
            <w:r>
              <w:rPr>
                <w:rFonts w:hint="eastAsia"/>
              </w:rPr>
              <w:t>-</w:t>
            </w:r>
            <w:r>
              <w:t>”号填列）</w:t>
            </w:r>
          </w:p>
        </w:tc>
        <w:tc>
          <w:tcPr>
            <w:tcW w:w="1391" w:type="pct"/>
            <w:tcBorders>
              <w:top w:val="outset" w:color="auto" w:sz="6" w:space="0"/>
              <w:left w:val="outset" w:color="auto" w:sz="6" w:space="0"/>
              <w:bottom w:val="outset" w:color="auto" w:sz="6" w:space="0"/>
              <w:right w:val="outset" w:color="auto" w:sz="6" w:space="0"/>
            </w:tcBorders>
            <w:vAlign w:val="center"/>
          </w:tcPr>
          <w:p w14:paraId="5202AFF0">
            <w:pPr>
              <w:jc w:val="right"/>
            </w:pPr>
            <w:r>
              <w:t>1,188,457,817.19</w:t>
            </w:r>
          </w:p>
        </w:tc>
        <w:tc>
          <w:tcPr>
            <w:tcW w:w="1407" w:type="pct"/>
            <w:tcBorders>
              <w:top w:val="outset" w:color="auto" w:sz="6" w:space="0"/>
              <w:left w:val="outset" w:color="auto" w:sz="6" w:space="0"/>
              <w:bottom w:val="outset" w:color="auto" w:sz="6" w:space="0"/>
              <w:right w:val="outset" w:color="auto" w:sz="6" w:space="0"/>
            </w:tcBorders>
            <w:vAlign w:val="center"/>
          </w:tcPr>
          <w:p w14:paraId="1309C906">
            <w:pPr>
              <w:jc w:val="right"/>
            </w:pPr>
            <w:r>
              <w:t>-66,175,962.81</w:t>
            </w:r>
          </w:p>
        </w:tc>
      </w:tr>
      <w:tr w14:paraId="6F6C1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1A76A4B">
            <w:pPr>
              <w:ind w:firstLine="567" w:firstLineChars="270"/>
            </w:pPr>
            <w:r>
              <w:t>2.终止经营净利润（净亏损以“</w:t>
            </w:r>
            <w:r>
              <w:rPr>
                <w:rFonts w:hint="eastAsia"/>
              </w:rPr>
              <w:t>-</w:t>
            </w:r>
            <w:r>
              <w:t>”号填列）</w:t>
            </w:r>
          </w:p>
        </w:tc>
        <w:tc>
          <w:tcPr>
            <w:tcW w:w="1391" w:type="pct"/>
            <w:tcBorders>
              <w:top w:val="outset" w:color="auto" w:sz="6" w:space="0"/>
              <w:left w:val="outset" w:color="auto" w:sz="6" w:space="0"/>
              <w:bottom w:val="outset" w:color="auto" w:sz="6" w:space="0"/>
              <w:right w:val="outset" w:color="auto" w:sz="6" w:space="0"/>
            </w:tcBorders>
            <w:vAlign w:val="center"/>
          </w:tcPr>
          <w:p w14:paraId="130645C1">
            <w:pPr>
              <w:jc w:val="right"/>
            </w:pPr>
            <w:r>
              <w:t>-577,886.31</w:t>
            </w:r>
          </w:p>
        </w:tc>
        <w:tc>
          <w:tcPr>
            <w:tcW w:w="1407" w:type="pct"/>
            <w:tcBorders>
              <w:top w:val="outset" w:color="auto" w:sz="6" w:space="0"/>
              <w:left w:val="outset" w:color="auto" w:sz="6" w:space="0"/>
              <w:bottom w:val="outset" w:color="auto" w:sz="6" w:space="0"/>
              <w:right w:val="outset" w:color="auto" w:sz="6" w:space="0"/>
            </w:tcBorders>
            <w:vAlign w:val="center"/>
          </w:tcPr>
          <w:p w14:paraId="4138840B">
            <w:pPr>
              <w:jc w:val="right"/>
            </w:pPr>
            <w:r>
              <w:t>-258,012.85</w:t>
            </w:r>
          </w:p>
        </w:tc>
      </w:tr>
      <w:tr w14:paraId="4EEEE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3"/>
            <w:tcBorders>
              <w:top w:val="outset" w:color="auto" w:sz="6" w:space="0"/>
              <w:left w:val="outset" w:color="auto" w:sz="6" w:space="0"/>
              <w:bottom w:val="outset" w:color="auto" w:sz="6" w:space="0"/>
              <w:right w:val="outset" w:color="auto" w:sz="6" w:space="0"/>
            </w:tcBorders>
            <w:vAlign w:val="center"/>
          </w:tcPr>
          <w:sdt>
            <w:sdtPr>
              <w:tag w:val="_PLD_7fa89d4495ee433ebcba549e0665d1c1"/>
              <w:id w:val="-2081436483"/>
            </w:sdtPr>
            <w:sdtContent>
              <w:p w14:paraId="619E7E25">
                <w:r>
                  <w:rPr>
                    <w:rFonts w:hint="eastAsia"/>
                  </w:rPr>
                  <w:t>（二）按所有权归属分类</w:t>
                </w:r>
              </w:p>
            </w:sdtContent>
          </w:sdt>
        </w:tc>
      </w:tr>
      <w:tr w14:paraId="602AE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7BF00355">
            <w:pPr>
              <w:ind w:firstLine="567" w:firstLineChars="270"/>
            </w:pPr>
            <w:r>
              <w:t>1.</w:t>
            </w:r>
            <w:r>
              <w:rPr>
                <w:rFonts w:hint="eastAsia"/>
              </w:rPr>
              <w:t>归属于母公司股东的净利润</w:t>
            </w:r>
            <w:r>
              <w:t>（净亏损以“-”号填列）</w:t>
            </w:r>
          </w:p>
        </w:tc>
        <w:tc>
          <w:tcPr>
            <w:tcW w:w="1391" w:type="pct"/>
            <w:tcBorders>
              <w:top w:val="outset" w:color="auto" w:sz="6" w:space="0"/>
              <w:left w:val="outset" w:color="auto" w:sz="6" w:space="0"/>
              <w:bottom w:val="outset" w:color="auto" w:sz="6" w:space="0"/>
              <w:right w:val="outset" w:color="auto" w:sz="6" w:space="0"/>
            </w:tcBorders>
            <w:vAlign w:val="center"/>
          </w:tcPr>
          <w:p w14:paraId="4054D540">
            <w:pPr>
              <w:jc w:val="right"/>
            </w:pPr>
            <w:r>
              <w:t>1,202,234,367.84</w:t>
            </w:r>
          </w:p>
        </w:tc>
        <w:tc>
          <w:tcPr>
            <w:tcW w:w="1407" w:type="pct"/>
            <w:tcBorders>
              <w:top w:val="outset" w:color="auto" w:sz="6" w:space="0"/>
              <w:left w:val="outset" w:color="auto" w:sz="6" w:space="0"/>
              <w:bottom w:val="outset" w:color="auto" w:sz="6" w:space="0"/>
              <w:right w:val="outset" w:color="auto" w:sz="6" w:space="0"/>
            </w:tcBorders>
            <w:vAlign w:val="center"/>
          </w:tcPr>
          <w:p w14:paraId="2888EECB">
            <w:pPr>
              <w:jc w:val="right"/>
            </w:pPr>
            <w:r>
              <w:t>-66,372,427.80</w:t>
            </w:r>
          </w:p>
        </w:tc>
      </w:tr>
      <w:tr w14:paraId="5D557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18304916">
            <w:pPr>
              <w:ind w:firstLine="567" w:firstLineChars="270"/>
            </w:pPr>
            <w:r>
              <w:t>2.</w:t>
            </w:r>
            <w:r>
              <w:rPr>
                <w:rFonts w:hint="eastAsia"/>
              </w:rPr>
              <w:t>少数股东损益</w:t>
            </w:r>
            <w:r>
              <w:t>（净亏损以“-”号填列）</w:t>
            </w:r>
          </w:p>
        </w:tc>
        <w:tc>
          <w:tcPr>
            <w:tcW w:w="1391" w:type="pct"/>
            <w:tcBorders>
              <w:top w:val="outset" w:color="auto" w:sz="6" w:space="0"/>
              <w:left w:val="outset" w:color="auto" w:sz="6" w:space="0"/>
              <w:bottom w:val="outset" w:color="auto" w:sz="6" w:space="0"/>
              <w:right w:val="outset" w:color="auto" w:sz="6" w:space="0"/>
            </w:tcBorders>
            <w:vAlign w:val="center"/>
          </w:tcPr>
          <w:p w14:paraId="1DB2AD2E">
            <w:pPr>
              <w:jc w:val="right"/>
            </w:pPr>
            <w:r>
              <w:t>-14,354,436.96</w:t>
            </w:r>
          </w:p>
        </w:tc>
        <w:tc>
          <w:tcPr>
            <w:tcW w:w="1407" w:type="pct"/>
            <w:tcBorders>
              <w:top w:val="outset" w:color="auto" w:sz="6" w:space="0"/>
              <w:left w:val="outset" w:color="auto" w:sz="6" w:space="0"/>
              <w:bottom w:val="outset" w:color="auto" w:sz="6" w:space="0"/>
              <w:right w:val="outset" w:color="auto" w:sz="6" w:space="0"/>
            </w:tcBorders>
            <w:vAlign w:val="center"/>
          </w:tcPr>
          <w:p w14:paraId="5D6150C9">
            <w:pPr>
              <w:jc w:val="right"/>
            </w:pPr>
            <w:r>
              <w:t>-61,547.86</w:t>
            </w:r>
          </w:p>
        </w:tc>
      </w:tr>
      <w:tr w14:paraId="3BFC3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043DEC4">
            <w:r>
              <w:rPr>
                <w:rFonts w:hint="eastAsia"/>
              </w:rPr>
              <w:t>六、其他综合收益的税后净额</w:t>
            </w:r>
          </w:p>
        </w:tc>
        <w:tc>
          <w:tcPr>
            <w:tcW w:w="1391" w:type="pct"/>
            <w:tcBorders>
              <w:top w:val="outset" w:color="auto" w:sz="6" w:space="0"/>
              <w:left w:val="outset" w:color="auto" w:sz="6" w:space="0"/>
              <w:bottom w:val="outset" w:color="auto" w:sz="6" w:space="0"/>
              <w:right w:val="outset" w:color="auto" w:sz="6" w:space="0"/>
            </w:tcBorders>
          </w:tcPr>
          <w:p w14:paraId="1EF17492">
            <w:pPr>
              <w:jc w:val="right"/>
            </w:pPr>
          </w:p>
        </w:tc>
        <w:tc>
          <w:tcPr>
            <w:tcW w:w="1407" w:type="pct"/>
            <w:tcBorders>
              <w:top w:val="outset" w:color="auto" w:sz="6" w:space="0"/>
              <w:left w:val="outset" w:color="auto" w:sz="6" w:space="0"/>
              <w:bottom w:val="outset" w:color="auto" w:sz="6" w:space="0"/>
              <w:right w:val="outset" w:color="auto" w:sz="6" w:space="0"/>
            </w:tcBorders>
          </w:tcPr>
          <w:p w14:paraId="2D94FBCF">
            <w:pPr>
              <w:jc w:val="right"/>
            </w:pPr>
          </w:p>
        </w:tc>
      </w:tr>
      <w:tr w14:paraId="15C11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2F89CE2">
            <w:pPr>
              <w:ind w:firstLine="210" w:firstLineChars="100"/>
            </w:pPr>
            <w:r>
              <w:rPr>
                <w:rFonts w:hint="eastAsia"/>
              </w:rPr>
              <w:t>（一）归属母公司所有者的其他综合收益的税后净额</w:t>
            </w:r>
          </w:p>
        </w:tc>
        <w:tc>
          <w:tcPr>
            <w:tcW w:w="1391" w:type="pct"/>
            <w:tcBorders>
              <w:top w:val="outset" w:color="auto" w:sz="6" w:space="0"/>
              <w:left w:val="outset" w:color="auto" w:sz="6" w:space="0"/>
              <w:bottom w:val="outset" w:color="auto" w:sz="6" w:space="0"/>
              <w:right w:val="outset" w:color="auto" w:sz="6" w:space="0"/>
            </w:tcBorders>
          </w:tcPr>
          <w:p w14:paraId="7E32524E">
            <w:pPr>
              <w:jc w:val="right"/>
            </w:pPr>
          </w:p>
        </w:tc>
        <w:tc>
          <w:tcPr>
            <w:tcW w:w="1407" w:type="pct"/>
            <w:tcBorders>
              <w:top w:val="outset" w:color="auto" w:sz="6" w:space="0"/>
              <w:left w:val="outset" w:color="auto" w:sz="6" w:space="0"/>
              <w:bottom w:val="outset" w:color="auto" w:sz="6" w:space="0"/>
              <w:right w:val="outset" w:color="auto" w:sz="6" w:space="0"/>
            </w:tcBorders>
          </w:tcPr>
          <w:p w14:paraId="23152583">
            <w:pPr>
              <w:jc w:val="right"/>
            </w:pPr>
          </w:p>
        </w:tc>
      </w:tr>
      <w:tr w14:paraId="5FC49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16E0A598">
            <w:pPr>
              <w:ind w:firstLine="420" w:firstLineChars="200"/>
            </w:pPr>
            <w:r>
              <w:rPr>
                <w:rFonts w:hint="eastAsia"/>
              </w:rPr>
              <w:t>1</w:t>
            </w:r>
            <w:r>
              <w:t>.</w:t>
            </w:r>
            <w:r>
              <w:rPr>
                <w:rFonts w:hint="eastAsia"/>
              </w:rPr>
              <w:t>不能重分类进损益的其他综合收益</w:t>
            </w:r>
          </w:p>
        </w:tc>
        <w:tc>
          <w:tcPr>
            <w:tcW w:w="1391" w:type="pct"/>
            <w:tcBorders>
              <w:top w:val="outset" w:color="auto" w:sz="6" w:space="0"/>
              <w:left w:val="outset" w:color="auto" w:sz="6" w:space="0"/>
              <w:bottom w:val="outset" w:color="auto" w:sz="6" w:space="0"/>
              <w:right w:val="outset" w:color="auto" w:sz="6" w:space="0"/>
            </w:tcBorders>
          </w:tcPr>
          <w:p w14:paraId="2F0D2DF5">
            <w:pPr>
              <w:jc w:val="right"/>
            </w:pPr>
          </w:p>
        </w:tc>
        <w:tc>
          <w:tcPr>
            <w:tcW w:w="1407" w:type="pct"/>
            <w:tcBorders>
              <w:top w:val="outset" w:color="auto" w:sz="6" w:space="0"/>
              <w:left w:val="outset" w:color="auto" w:sz="6" w:space="0"/>
              <w:bottom w:val="outset" w:color="auto" w:sz="6" w:space="0"/>
              <w:right w:val="outset" w:color="auto" w:sz="6" w:space="0"/>
            </w:tcBorders>
          </w:tcPr>
          <w:p w14:paraId="10A1CEE6">
            <w:pPr>
              <w:jc w:val="right"/>
            </w:pPr>
          </w:p>
        </w:tc>
      </w:tr>
      <w:tr w14:paraId="59667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07C5315B">
            <w:pPr>
              <w:ind w:firstLine="420" w:firstLineChars="200"/>
            </w:pPr>
            <w:r>
              <w:rPr>
                <w:rFonts w:hint="eastAsia"/>
              </w:rPr>
              <w:t>（1）重新计量设定受益计划变动额</w:t>
            </w:r>
          </w:p>
        </w:tc>
        <w:tc>
          <w:tcPr>
            <w:tcW w:w="1391" w:type="pct"/>
            <w:tcBorders>
              <w:top w:val="outset" w:color="auto" w:sz="6" w:space="0"/>
              <w:left w:val="outset" w:color="auto" w:sz="6" w:space="0"/>
              <w:bottom w:val="outset" w:color="auto" w:sz="6" w:space="0"/>
              <w:right w:val="outset" w:color="auto" w:sz="6" w:space="0"/>
            </w:tcBorders>
          </w:tcPr>
          <w:p w14:paraId="7F601200">
            <w:pPr>
              <w:jc w:val="right"/>
            </w:pPr>
          </w:p>
        </w:tc>
        <w:tc>
          <w:tcPr>
            <w:tcW w:w="1407" w:type="pct"/>
            <w:tcBorders>
              <w:top w:val="outset" w:color="auto" w:sz="6" w:space="0"/>
              <w:left w:val="outset" w:color="auto" w:sz="6" w:space="0"/>
              <w:bottom w:val="outset" w:color="auto" w:sz="6" w:space="0"/>
              <w:right w:val="outset" w:color="auto" w:sz="6" w:space="0"/>
            </w:tcBorders>
          </w:tcPr>
          <w:p w14:paraId="0E104FDE">
            <w:pPr>
              <w:jc w:val="right"/>
            </w:pPr>
          </w:p>
        </w:tc>
      </w:tr>
      <w:tr w14:paraId="20C5A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21BEF3C2">
            <w:pPr>
              <w:ind w:firstLine="420" w:firstLineChars="200"/>
            </w:pPr>
            <w:r>
              <w:rPr>
                <w:rFonts w:hint="eastAsia"/>
              </w:rPr>
              <w:t>（2）权益法下不能转损益的其他综合收益</w:t>
            </w:r>
          </w:p>
        </w:tc>
        <w:tc>
          <w:tcPr>
            <w:tcW w:w="1391" w:type="pct"/>
            <w:tcBorders>
              <w:top w:val="outset" w:color="auto" w:sz="6" w:space="0"/>
              <w:left w:val="outset" w:color="auto" w:sz="6" w:space="0"/>
              <w:bottom w:val="outset" w:color="auto" w:sz="6" w:space="0"/>
              <w:right w:val="outset" w:color="auto" w:sz="6" w:space="0"/>
            </w:tcBorders>
          </w:tcPr>
          <w:p w14:paraId="7567F9B5">
            <w:pPr>
              <w:jc w:val="right"/>
            </w:pPr>
          </w:p>
        </w:tc>
        <w:tc>
          <w:tcPr>
            <w:tcW w:w="1407" w:type="pct"/>
            <w:tcBorders>
              <w:top w:val="outset" w:color="auto" w:sz="6" w:space="0"/>
              <w:left w:val="outset" w:color="auto" w:sz="6" w:space="0"/>
              <w:bottom w:val="outset" w:color="auto" w:sz="6" w:space="0"/>
              <w:right w:val="outset" w:color="auto" w:sz="6" w:space="0"/>
            </w:tcBorders>
          </w:tcPr>
          <w:p w14:paraId="0E7E504B">
            <w:pPr>
              <w:jc w:val="right"/>
            </w:pPr>
          </w:p>
        </w:tc>
      </w:tr>
      <w:tr w14:paraId="7AA88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42E88DDA">
            <w:pPr>
              <w:ind w:firstLine="420" w:firstLineChars="200"/>
            </w:pPr>
            <w:r>
              <w:rPr>
                <w:rFonts w:hint="eastAsia"/>
              </w:rPr>
              <w:t>（3）其他权益工具投资公允价值变动</w:t>
            </w:r>
          </w:p>
        </w:tc>
        <w:tc>
          <w:tcPr>
            <w:tcW w:w="1391" w:type="pct"/>
            <w:tcBorders>
              <w:top w:val="outset" w:color="auto" w:sz="6" w:space="0"/>
              <w:left w:val="outset" w:color="auto" w:sz="6" w:space="0"/>
              <w:bottom w:val="outset" w:color="auto" w:sz="6" w:space="0"/>
              <w:right w:val="outset" w:color="auto" w:sz="6" w:space="0"/>
            </w:tcBorders>
          </w:tcPr>
          <w:p w14:paraId="0DBE55FF">
            <w:pPr>
              <w:jc w:val="right"/>
            </w:pPr>
          </w:p>
        </w:tc>
        <w:tc>
          <w:tcPr>
            <w:tcW w:w="1407" w:type="pct"/>
            <w:tcBorders>
              <w:top w:val="outset" w:color="auto" w:sz="6" w:space="0"/>
              <w:left w:val="outset" w:color="auto" w:sz="6" w:space="0"/>
              <w:bottom w:val="outset" w:color="auto" w:sz="6" w:space="0"/>
              <w:right w:val="outset" w:color="auto" w:sz="6" w:space="0"/>
            </w:tcBorders>
          </w:tcPr>
          <w:p w14:paraId="04DE5751">
            <w:pPr>
              <w:jc w:val="right"/>
            </w:pPr>
          </w:p>
        </w:tc>
      </w:tr>
      <w:tr w14:paraId="166A9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7AE86BB">
            <w:pPr>
              <w:ind w:firstLine="420" w:firstLineChars="200"/>
            </w:pPr>
            <w:r>
              <w:rPr>
                <w:rFonts w:hint="eastAsia"/>
              </w:rPr>
              <w:t>（4）企业自身信用风险公允价值变动</w:t>
            </w:r>
          </w:p>
        </w:tc>
        <w:tc>
          <w:tcPr>
            <w:tcW w:w="1391" w:type="pct"/>
            <w:tcBorders>
              <w:top w:val="outset" w:color="auto" w:sz="6" w:space="0"/>
              <w:left w:val="outset" w:color="auto" w:sz="6" w:space="0"/>
              <w:bottom w:val="outset" w:color="auto" w:sz="6" w:space="0"/>
              <w:right w:val="outset" w:color="auto" w:sz="6" w:space="0"/>
            </w:tcBorders>
          </w:tcPr>
          <w:p w14:paraId="51FEBE0B">
            <w:pPr>
              <w:jc w:val="right"/>
            </w:pPr>
          </w:p>
        </w:tc>
        <w:tc>
          <w:tcPr>
            <w:tcW w:w="1407" w:type="pct"/>
            <w:tcBorders>
              <w:top w:val="outset" w:color="auto" w:sz="6" w:space="0"/>
              <w:left w:val="outset" w:color="auto" w:sz="6" w:space="0"/>
              <w:bottom w:val="outset" w:color="auto" w:sz="6" w:space="0"/>
              <w:right w:val="outset" w:color="auto" w:sz="6" w:space="0"/>
            </w:tcBorders>
          </w:tcPr>
          <w:p w14:paraId="132DAFB9">
            <w:pPr>
              <w:jc w:val="right"/>
            </w:pPr>
          </w:p>
        </w:tc>
      </w:tr>
      <w:tr w14:paraId="0EF9A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5C7B1D9">
            <w:pPr>
              <w:ind w:firstLine="420" w:firstLineChars="200"/>
            </w:pPr>
            <w:r>
              <w:t>2.</w:t>
            </w:r>
            <w:r>
              <w:rPr>
                <w:rFonts w:hint="eastAsia"/>
              </w:rPr>
              <w:t>将重分类进损益的其他综合收益</w:t>
            </w:r>
          </w:p>
        </w:tc>
        <w:tc>
          <w:tcPr>
            <w:tcW w:w="1391" w:type="pct"/>
            <w:tcBorders>
              <w:top w:val="outset" w:color="auto" w:sz="6" w:space="0"/>
              <w:left w:val="outset" w:color="auto" w:sz="6" w:space="0"/>
              <w:bottom w:val="outset" w:color="auto" w:sz="6" w:space="0"/>
              <w:right w:val="outset" w:color="auto" w:sz="6" w:space="0"/>
            </w:tcBorders>
          </w:tcPr>
          <w:p w14:paraId="2FF848BE">
            <w:pPr>
              <w:jc w:val="right"/>
            </w:pPr>
          </w:p>
        </w:tc>
        <w:tc>
          <w:tcPr>
            <w:tcW w:w="1407" w:type="pct"/>
            <w:tcBorders>
              <w:top w:val="outset" w:color="auto" w:sz="6" w:space="0"/>
              <w:left w:val="outset" w:color="auto" w:sz="6" w:space="0"/>
              <w:bottom w:val="outset" w:color="auto" w:sz="6" w:space="0"/>
              <w:right w:val="outset" w:color="auto" w:sz="6" w:space="0"/>
            </w:tcBorders>
          </w:tcPr>
          <w:p w14:paraId="723377BD">
            <w:pPr>
              <w:jc w:val="right"/>
            </w:pPr>
          </w:p>
        </w:tc>
      </w:tr>
      <w:tr w14:paraId="35AD1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0A7893C8">
            <w:pPr>
              <w:ind w:firstLine="420" w:firstLineChars="200"/>
            </w:pPr>
            <w:r>
              <w:rPr>
                <w:rFonts w:hint="eastAsia"/>
              </w:rPr>
              <w:t>（1）权益法下可转损益的其他综合收益</w:t>
            </w:r>
          </w:p>
        </w:tc>
        <w:tc>
          <w:tcPr>
            <w:tcW w:w="1391" w:type="pct"/>
            <w:tcBorders>
              <w:top w:val="outset" w:color="auto" w:sz="6" w:space="0"/>
              <w:left w:val="outset" w:color="auto" w:sz="6" w:space="0"/>
              <w:bottom w:val="outset" w:color="auto" w:sz="6" w:space="0"/>
              <w:right w:val="outset" w:color="auto" w:sz="6" w:space="0"/>
            </w:tcBorders>
          </w:tcPr>
          <w:p w14:paraId="71632B1F">
            <w:pPr>
              <w:jc w:val="right"/>
            </w:pPr>
          </w:p>
        </w:tc>
        <w:tc>
          <w:tcPr>
            <w:tcW w:w="1407" w:type="pct"/>
            <w:tcBorders>
              <w:top w:val="outset" w:color="auto" w:sz="6" w:space="0"/>
              <w:left w:val="outset" w:color="auto" w:sz="6" w:space="0"/>
              <w:bottom w:val="outset" w:color="auto" w:sz="6" w:space="0"/>
              <w:right w:val="outset" w:color="auto" w:sz="6" w:space="0"/>
            </w:tcBorders>
          </w:tcPr>
          <w:p w14:paraId="14CF2A4A">
            <w:pPr>
              <w:jc w:val="right"/>
            </w:pPr>
          </w:p>
        </w:tc>
      </w:tr>
      <w:tr w14:paraId="71FDC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A2F6F02">
            <w:pPr>
              <w:ind w:firstLine="420" w:firstLineChars="200"/>
            </w:pPr>
            <w:r>
              <w:rPr>
                <w:rFonts w:hint="eastAsia"/>
              </w:rPr>
              <w:t>（2）其他债权投资公允价值变动</w:t>
            </w:r>
          </w:p>
        </w:tc>
        <w:tc>
          <w:tcPr>
            <w:tcW w:w="1391" w:type="pct"/>
            <w:tcBorders>
              <w:top w:val="outset" w:color="auto" w:sz="6" w:space="0"/>
              <w:left w:val="outset" w:color="auto" w:sz="6" w:space="0"/>
              <w:bottom w:val="outset" w:color="auto" w:sz="6" w:space="0"/>
              <w:right w:val="outset" w:color="auto" w:sz="6" w:space="0"/>
            </w:tcBorders>
          </w:tcPr>
          <w:p w14:paraId="637C710E">
            <w:pPr>
              <w:jc w:val="right"/>
            </w:pPr>
          </w:p>
        </w:tc>
        <w:tc>
          <w:tcPr>
            <w:tcW w:w="1407" w:type="pct"/>
            <w:tcBorders>
              <w:top w:val="outset" w:color="auto" w:sz="6" w:space="0"/>
              <w:left w:val="outset" w:color="auto" w:sz="6" w:space="0"/>
              <w:bottom w:val="outset" w:color="auto" w:sz="6" w:space="0"/>
              <w:right w:val="outset" w:color="auto" w:sz="6" w:space="0"/>
            </w:tcBorders>
          </w:tcPr>
          <w:p w14:paraId="388E1CF6">
            <w:pPr>
              <w:jc w:val="right"/>
            </w:pPr>
          </w:p>
        </w:tc>
      </w:tr>
      <w:tr w14:paraId="123B1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9691064">
            <w:pPr>
              <w:ind w:firstLine="420" w:firstLineChars="200"/>
            </w:pPr>
            <w:r>
              <w:rPr>
                <w:rFonts w:hint="eastAsia"/>
              </w:rPr>
              <w:t>（3）金融资产重分类计入其他综合收益的金额</w:t>
            </w:r>
          </w:p>
        </w:tc>
        <w:tc>
          <w:tcPr>
            <w:tcW w:w="1391" w:type="pct"/>
            <w:tcBorders>
              <w:top w:val="outset" w:color="auto" w:sz="6" w:space="0"/>
              <w:left w:val="outset" w:color="auto" w:sz="6" w:space="0"/>
              <w:bottom w:val="outset" w:color="auto" w:sz="6" w:space="0"/>
              <w:right w:val="outset" w:color="auto" w:sz="6" w:space="0"/>
            </w:tcBorders>
          </w:tcPr>
          <w:p w14:paraId="4ABA10B4">
            <w:pPr>
              <w:jc w:val="right"/>
            </w:pPr>
          </w:p>
        </w:tc>
        <w:tc>
          <w:tcPr>
            <w:tcW w:w="1407" w:type="pct"/>
            <w:tcBorders>
              <w:top w:val="outset" w:color="auto" w:sz="6" w:space="0"/>
              <w:left w:val="outset" w:color="auto" w:sz="6" w:space="0"/>
              <w:bottom w:val="outset" w:color="auto" w:sz="6" w:space="0"/>
              <w:right w:val="outset" w:color="auto" w:sz="6" w:space="0"/>
            </w:tcBorders>
          </w:tcPr>
          <w:p w14:paraId="10118393">
            <w:pPr>
              <w:jc w:val="right"/>
            </w:pPr>
          </w:p>
        </w:tc>
      </w:tr>
      <w:tr w14:paraId="51A78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44B3D284">
            <w:pPr>
              <w:ind w:firstLine="420" w:firstLineChars="200"/>
            </w:pPr>
            <w:r>
              <w:rPr>
                <w:rFonts w:hint="eastAsia"/>
              </w:rPr>
              <w:t>（4）其他债权投资信用减值准备</w:t>
            </w:r>
          </w:p>
        </w:tc>
        <w:tc>
          <w:tcPr>
            <w:tcW w:w="1391" w:type="pct"/>
            <w:tcBorders>
              <w:top w:val="outset" w:color="auto" w:sz="6" w:space="0"/>
              <w:left w:val="outset" w:color="auto" w:sz="6" w:space="0"/>
              <w:bottom w:val="outset" w:color="auto" w:sz="6" w:space="0"/>
              <w:right w:val="outset" w:color="auto" w:sz="6" w:space="0"/>
            </w:tcBorders>
          </w:tcPr>
          <w:p w14:paraId="29DEF3EF">
            <w:pPr>
              <w:jc w:val="right"/>
            </w:pPr>
          </w:p>
        </w:tc>
        <w:tc>
          <w:tcPr>
            <w:tcW w:w="1407" w:type="pct"/>
            <w:tcBorders>
              <w:top w:val="outset" w:color="auto" w:sz="6" w:space="0"/>
              <w:left w:val="outset" w:color="auto" w:sz="6" w:space="0"/>
              <w:bottom w:val="outset" w:color="auto" w:sz="6" w:space="0"/>
              <w:right w:val="outset" w:color="auto" w:sz="6" w:space="0"/>
            </w:tcBorders>
          </w:tcPr>
          <w:p w14:paraId="41C41868">
            <w:pPr>
              <w:jc w:val="right"/>
            </w:pPr>
          </w:p>
        </w:tc>
      </w:tr>
      <w:tr w14:paraId="1B1A4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40E25E2F">
            <w:pPr>
              <w:ind w:firstLine="420" w:firstLineChars="200"/>
            </w:pPr>
            <w:r>
              <w:rPr>
                <w:rFonts w:hint="eastAsia"/>
              </w:rPr>
              <w:t>（</w:t>
            </w:r>
            <w:r>
              <w:t>5</w:t>
            </w:r>
            <w:r>
              <w:rPr>
                <w:rFonts w:hint="eastAsia"/>
              </w:rPr>
              <w:t>）现金流量套期储备</w:t>
            </w:r>
          </w:p>
        </w:tc>
        <w:tc>
          <w:tcPr>
            <w:tcW w:w="1391" w:type="pct"/>
            <w:tcBorders>
              <w:top w:val="outset" w:color="auto" w:sz="6" w:space="0"/>
              <w:left w:val="outset" w:color="auto" w:sz="6" w:space="0"/>
              <w:bottom w:val="outset" w:color="auto" w:sz="6" w:space="0"/>
              <w:right w:val="outset" w:color="auto" w:sz="6" w:space="0"/>
            </w:tcBorders>
          </w:tcPr>
          <w:p w14:paraId="448DCB80">
            <w:pPr>
              <w:jc w:val="right"/>
            </w:pPr>
          </w:p>
        </w:tc>
        <w:tc>
          <w:tcPr>
            <w:tcW w:w="1407" w:type="pct"/>
            <w:tcBorders>
              <w:top w:val="outset" w:color="auto" w:sz="6" w:space="0"/>
              <w:left w:val="outset" w:color="auto" w:sz="6" w:space="0"/>
              <w:bottom w:val="outset" w:color="auto" w:sz="6" w:space="0"/>
              <w:right w:val="outset" w:color="auto" w:sz="6" w:space="0"/>
            </w:tcBorders>
          </w:tcPr>
          <w:p w14:paraId="38A30AA4">
            <w:pPr>
              <w:jc w:val="right"/>
            </w:pPr>
          </w:p>
        </w:tc>
      </w:tr>
      <w:tr w14:paraId="553FE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48E0F563">
            <w:pPr>
              <w:ind w:firstLine="420" w:firstLineChars="200"/>
            </w:pPr>
            <w:r>
              <w:rPr>
                <w:rFonts w:hint="eastAsia"/>
              </w:rPr>
              <w:t>（6）</w:t>
            </w:r>
            <w:r>
              <w:t>外币财务报表折算差额</w:t>
            </w:r>
          </w:p>
        </w:tc>
        <w:tc>
          <w:tcPr>
            <w:tcW w:w="1391" w:type="pct"/>
            <w:tcBorders>
              <w:top w:val="outset" w:color="auto" w:sz="6" w:space="0"/>
              <w:left w:val="outset" w:color="auto" w:sz="6" w:space="0"/>
              <w:bottom w:val="outset" w:color="auto" w:sz="6" w:space="0"/>
              <w:right w:val="outset" w:color="auto" w:sz="6" w:space="0"/>
            </w:tcBorders>
          </w:tcPr>
          <w:p w14:paraId="650BD726">
            <w:pPr>
              <w:jc w:val="right"/>
            </w:pPr>
          </w:p>
        </w:tc>
        <w:tc>
          <w:tcPr>
            <w:tcW w:w="1407" w:type="pct"/>
            <w:tcBorders>
              <w:top w:val="outset" w:color="auto" w:sz="6" w:space="0"/>
              <w:left w:val="outset" w:color="auto" w:sz="6" w:space="0"/>
              <w:bottom w:val="outset" w:color="auto" w:sz="6" w:space="0"/>
              <w:right w:val="outset" w:color="auto" w:sz="6" w:space="0"/>
            </w:tcBorders>
          </w:tcPr>
          <w:p w14:paraId="74E0A1DA">
            <w:pPr>
              <w:jc w:val="right"/>
            </w:pPr>
          </w:p>
        </w:tc>
      </w:tr>
      <w:tr w14:paraId="40018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1E50AEE3">
            <w:pPr>
              <w:ind w:firstLine="420" w:firstLineChars="200"/>
            </w:pPr>
            <w:r>
              <w:rPr>
                <w:rFonts w:hint="eastAsia"/>
              </w:rPr>
              <w:t>（7）其他</w:t>
            </w:r>
          </w:p>
        </w:tc>
        <w:tc>
          <w:tcPr>
            <w:tcW w:w="1391" w:type="pct"/>
            <w:tcBorders>
              <w:top w:val="outset" w:color="auto" w:sz="6" w:space="0"/>
              <w:left w:val="outset" w:color="auto" w:sz="6" w:space="0"/>
              <w:bottom w:val="outset" w:color="auto" w:sz="6" w:space="0"/>
              <w:right w:val="outset" w:color="auto" w:sz="6" w:space="0"/>
            </w:tcBorders>
          </w:tcPr>
          <w:p w14:paraId="261BEABD">
            <w:pPr>
              <w:jc w:val="right"/>
            </w:pPr>
          </w:p>
        </w:tc>
        <w:tc>
          <w:tcPr>
            <w:tcW w:w="1407" w:type="pct"/>
            <w:tcBorders>
              <w:top w:val="outset" w:color="auto" w:sz="6" w:space="0"/>
              <w:left w:val="outset" w:color="auto" w:sz="6" w:space="0"/>
              <w:bottom w:val="outset" w:color="auto" w:sz="6" w:space="0"/>
              <w:right w:val="outset" w:color="auto" w:sz="6" w:space="0"/>
            </w:tcBorders>
          </w:tcPr>
          <w:p w14:paraId="01227B7D">
            <w:pPr>
              <w:jc w:val="right"/>
            </w:pPr>
          </w:p>
        </w:tc>
      </w:tr>
      <w:tr w14:paraId="21284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662C7CAB">
            <w:pPr>
              <w:ind w:firstLine="210" w:firstLineChars="100"/>
            </w:pPr>
            <w:r>
              <w:rPr>
                <w:rFonts w:hint="eastAsia"/>
              </w:rPr>
              <w:t>（二）归属于少数股东的其他综合收益的税后净额</w:t>
            </w:r>
          </w:p>
        </w:tc>
        <w:tc>
          <w:tcPr>
            <w:tcW w:w="1391" w:type="pct"/>
            <w:tcBorders>
              <w:top w:val="outset" w:color="auto" w:sz="6" w:space="0"/>
              <w:left w:val="outset" w:color="auto" w:sz="6" w:space="0"/>
              <w:bottom w:val="outset" w:color="auto" w:sz="6" w:space="0"/>
              <w:right w:val="outset" w:color="auto" w:sz="6" w:space="0"/>
            </w:tcBorders>
          </w:tcPr>
          <w:p w14:paraId="57B38DFD">
            <w:pPr>
              <w:jc w:val="right"/>
            </w:pPr>
          </w:p>
        </w:tc>
        <w:tc>
          <w:tcPr>
            <w:tcW w:w="1407" w:type="pct"/>
            <w:tcBorders>
              <w:top w:val="outset" w:color="auto" w:sz="6" w:space="0"/>
              <w:left w:val="outset" w:color="auto" w:sz="6" w:space="0"/>
              <w:bottom w:val="outset" w:color="auto" w:sz="6" w:space="0"/>
              <w:right w:val="outset" w:color="auto" w:sz="6" w:space="0"/>
            </w:tcBorders>
          </w:tcPr>
          <w:p w14:paraId="477063E7">
            <w:pPr>
              <w:jc w:val="right"/>
            </w:pPr>
          </w:p>
        </w:tc>
      </w:tr>
      <w:tr w14:paraId="39057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081ACE93">
            <w:r>
              <w:rPr>
                <w:rFonts w:hint="eastAsia"/>
              </w:rPr>
              <w:t>七、综合收益总额</w:t>
            </w:r>
          </w:p>
        </w:tc>
        <w:tc>
          <w:tcPr>
            <w:tcW w:w="1391" w:type="pct"/>
            <w:tcBorders>
              <w:top w:val="outset" w:color="auto" w:sz="6" w:space="0"/>
              <w:left w:val="outset" w:color="auto" w:sz="6" w:space="0"/>
              <w:bottom w:val="outset" w:color="auto" w:sz="6" w:space="0"/>
              <w:right w:val="outset" w:color="auto" w:sz="6" w:space="0"/>
            </w:tcBorders>
            <w:vAlign w:val="center"/>
          </w:tcPr>
          <w:p w14:paraId="341CA437">
            <w:pPr>
              <w:jc w:val="right"/>
            </w:pPr>
            <w:r>
              <w:t>1,187,879,930.88</w:t>
            </w:r>
          </w:p>
        </w:tc>
        <w:tc>
          <w:tcPr>
            <w:tcW w:w="1407" w:type="pct"/>
            <w:tcBorders>
              <w:top w:val="outset" w:color="auto" w:sz="6" w:space="0"/>
              <w:left w:val="outset" w:color="auto" w:sz="6" w:space="0"/>
              <w:bottom w:val="outset" w:color="auto" w:sz="6" w:space="0"/>
              <w:right w:val="outset" w:color="auto" w:sz="6" w:space="0"/>
            </w:tcBorders>
            <w:vAlign w:val="center"/>
          </w:tcPr>
          <w:p w14:paraId="224ADEFE">
            <w:pPr>
              <w:jc w:val="right"/>
            </w:pPr>
            <w:r>
              <w:t>-66,433,975.66</w:t>
            </w:r>
          </w:p>
        </w:tc>
      </w:tr>
      <w:tr w14:paraId="79E97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046783E6">
            <w:pPr>
              <w:ind w:firstLine="210" w:firstLineChars="100"/>
            </w:pPr>
            <w:r>
              <w:rPr>
                <w:rFonts w:hint="eastAsia"/>
              </w:rPr>
              <w:t>（一）归属于母公司所有者的综合收益总额</w:t>
            </w:r>
          </w:p>
        </w:tc>
        <w:tc>
          <w:tcPr>
            <w:tcW w:w="1391" w:type="pct"/>
            <w:tcBorders>
              <w:top w:val="outset" w:color="auto" w:sz="6" w:space="0"/>
              <w:left w:val="outset" w:color="auto" w:sz="6" w:space="0"/>
              <w:bottom w:val="outset" w:color="auto" w:sz="6" w:space="0"/>
              <w:right w:val="outset" w:color="auto" w:sz="6" w:space="0"/>
            </w:tcBorders>
            <w:vAlign w:val="center"/>
          </w:tcPr>
          <w:p w14:paraId="184BCBDD">
            <w:pPr>
              <w:jc w:val="right"/>
            </w:pPr>
            <w:r>
              <w:t>1,202,234,367.84</w:t>
            </w:r>
          </w:p>
        </w:tc>
        <w:tc>
          <w:tcPr>
            <w:tcW w:w="1407" w:type="pct"/>
            <w:tcBorders>
              <w:top w:val="outset" w:color="auto" w:sz="6" w:space="0"/>
              <w:left w:val="outset" w:color="auto" w:sz="6" w:space="0"/>
              <w:bottom w:val="outset" w:color="auto" w:sz="6" w:space="0"/>
              <w:right w:val="outset" w:color="auto" w:sz="6" w:space="0"/>
            </w:tcBorders>
            <w:vAlign w:val="center"/>
          </w:tcPr>
          <w:p w14:paraId="4C43031E">
            <w:pPr>
              <w:jc w:val="right"/>
            </w:pPr>
            <w:r>
              <w:t>-66,372,427.80</w:t>
            </w:r>
          </w:p>
        </w:tc>
      </w:tr>
      <w:tr w14:paraId="13521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7CA334A6">
            <w:pPr>
              <w:ind w:firstLine="210" w:firstLineChars="100"/>
            </w:pPr>
            <w:r>
              <w:rPr>
                <w:rFonts w:hint="eastAsia"/>
              </w:rPr>
              <w:t>（二）归属于少数股东的综合收益总额</w:t>
            </w:r>
          </w:p>
        </w:tc>
        <w:tc>
          <w:tcPr>
            <w:tcW w:w="1391" w:type="pct"/>
            <w:tcBorders>
              <w:top w:val="outset" w:color="auto" w:sz="6" w:space="0"/>
              <w:left w:val="outset" w:color="auto" w:sz="6" w:space="0"/>
              <w:bottom w:val="outset" w:color="auto" w:sz="6" w:space="0"/>
              <w:right w:val="outset" w:color="auto" w:sz="6" w:space="0"/>
            </w:tcBorders>
            <w:vAlign w:val="center"/>
          </w:tcPr>
          <w:p w14:paraId="6A814B6C">
            <w:pPr>
              <w:jc w:val="right"/>
            </w:pPr>
            <w:r>
              <w:t>-14,354,436.96</w:t>
            </w:r>
          </w:p>
        </w:tc>
        <w:tc>
          <w:tcPr>
            <w:tcW w:w="1407" w:type="pct"/>
            <w:tcBorders>
              <w:top w:val="outset" w:color="auto" w:sz="6" w:space="0"/>
              <w:left w:val="outset" w:color="auto" w:sz="6" w:space="0"/>
              <w:bottom w:val="outset" w:color="auto" w:sz="6" w:space="0"/>
              <w:right w:val="outset" w:color="auto" w:sz="6" w:space="0"/>
            </w:tcBorders>
            <w:vAlign w:val="center"/>
          </w:tcPr>
          <w:p w14:paraId="489CCA07">
            <w:pPr>
              <w:jc w:val="right"/>
            </w:pPr>
            <w:r>
              <w:t>-61,547.86</w:t>
            </w:r>
          </w:p>
        </w:tc>
      </w:tr>
      <w:tr w14:paraId="2295E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sdt>
          <w:sdtPr>
            <w:tag w:val="_PLD_44b8e62e5cd44a8eb94cab9ecb4be9a7"/>
            <w:id w:val="-584221903"/>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5BB920B2">
                <w:r>
                  <w:rPr>
                    <w:rFonts w:hint="eastAsia"/>
                  </w:rPr>
                  <w:t>八、每股收益：</w:t>
                </w:r>
              </w:p>
            </w:tc>
          </w:sdtContent>
        </w:sdt>
      </w:tr>
      <w:tr w14:paraId="52126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31A9BDC">
            <w:pPr>
              <w:ind w:firstLine="210" w:firstLineChars="100"/>
            </w:pPr>
            <w:r>
              <w:t>（一）基本每股收益</w:t>
            </w:r>
            <w:r>
              <w:rPr>
                <w:rFonts w:hint="eastAsia"/>
              </w:rPr>
              <w:t>(元/股)</w:t>
            </w:r>
          </w:p>
        </w:tc>
        <w:tc>
          <w:tcPr>
            <w:tcW w:w="1391" w:type="pct"/>
            <w:tcBorders>
              <w:top w:val="outset" w:color="auto" w:sz="6" w:space="0"/>
              <w:left w:val="outset" w:color="auto" w:sz="6" w:space="0"/>
              <w:bottom w:val="outset" w:color="auto" w:sz="6" w:space="0"/>
              <w:right w:val="outset" w:color="auto" w:sz="6" w:space="0"/>
            </w:tcBorders>
            <w:vAlign w:val="center"/>
          </w:tcPr>
          <w:p w14:paraId="5D22FFFD">
            <w:pPr>
              <w:jc w:val="right"/>
            </w:pPr>
            <w:r>
              <w:t>0.61</w:t>
            </w:r>
          </w:p>
        </w:tc>
        <w:tc>
          <w:tcPr>
            <w:tcW w:w="1407" w:type="pct"/>
            <w:tcBorders>
              <w:top w:val="outset" w:color="auto" w:sz="6" w:space="0"/>
              <w:left w:val="outset" w:color="auto" w:sz="6" w:space="0"/>
              <w:bottom w:val="outset" w:color="auto" w:sz="6" w:space="0"/>
              <w:right w:val="outset" w:color="auto" w:sz="6" w:space="0"/>
            </w:tcBorders>
            <w:vAlign w:val="center"/>
          </w:tcPr>
          <w:p w14:paraId="67C457EB">
            <w:pPr>
              <w:jc w:val="right"/>
            </w:pPr>
            <w:r>
              <w:t>-0.03</w:t>
            </w:r>
          </w:p>
        </w:tc>
      </w:tr>
      <w:tr w14:paraId="6CDDB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6F428DD4">
            <w:pPr>
              <w:ind w:firstLine="210" w:firstLineChars="100"/>
            </w:pPr>
            <w:r>
              <w:t>（二）稀释每股收益</w:t>
            </w:r>
            <w:r>
              <w:rPr>
                <w:rFonts w:hint="eastAsia"/>
              </w:rPr>
              <w:t>(元/股)</w:t>
            </w:r>
          </w:p>
        </w:tc>
        <w:tc>
          <w:tcPr>
            <w:tcW w:w="1391" w:type="pct"/>
            <w:tcBorders>
              <w:top w:val="outset" w:color="auto" w:sz="6" w:space="0"/>
              <w:left w:val="outset" w:color="auto" w:sz="6" w:space="0"/>
              <w:bottom w:val="outset" w:color="auto" w:sz="6" w:space="0"/>
              <w:right w:val="outset" w:color="auto" w:sz="6" w:space="0"/>
            </w:tcBorders>
            <w:vAlign w:val="center"/>
          </w:tcPr>
          <w:p w14:paraId="786EFFA0">
            <w:pPr>
              <w:jc w:val="right"/>
            </w:pPr>
            <w:r>
              <w:t>0.61</w:t>
            </w:r>
          </w:p>
        </w:tc>
        <w:tc>
          <w:tcPr>
            <w:tcW w:w="1407" w:type="pct"/>
            <w:tcBorders>
              <w:top w:val="outset" w:color="auto" w:sz="6" w:space="0"/>
              <w:left w:val="outset" w:color="auto" w:sz="6" w:space="0"/>
              <w:bottom w:val="outset" w:color="auto" w:sz="6" w:space="0"/>
              <w:right w:val="outset" w:color="auto" w:sz="6" w:space="0"/>
            </w:tcBorders>
            <w:vAlign w:val="center"/>
          </w:tcPr>
          <w:p w14:paraId="243E422F">
            <w:pPr>
              <w:jc w:val="right"/>
            </w:pPr>
            <w:r>
              <w:t>-0.03</w:t>
            </w:r>
          </w:p>
        </w:tc>
      </w:tr>
    </w:tbl>
    <w:p w14:paraId="5A98471F"/>
    <w:p w14:paraId="05183C4C">
      <w:r>
        <w:rPr>
          <w:rFonts w:hint="eastAsia"/>
        </w:rPr>
        <w:t>公司负责</w:t>
      </w:r>
      <w:r>
        <w:t>人</w:t>
      </w:r>
      <w:r>
        <w:rPr>
          <w:rFonts w:hint="eastAsia"/>
        </w:rPr>
        <w:t>：</w:t>
      </w:r>
      <w:sdt>
        <w:sdtPr>
          <w:rPr>
            <w:rFonts w:hint="eastAsia"/>
          </w:rPr>
          <w:alias w:val="公司负责人"/>
          <w:tag w:val="_GBC_73af8ba87bb949b192478420be01de08"/>
          <w:id w:val="654576036"/>
          <w:placeholder>
            <w:docPart w:val="GBC22222222222222222222222222222"/>
          </w:placeholder>
          <w:dataBinding w:prefixMappings="xmlns:clcid-mr='clcid-mr'" w:xpath="/*/clcid-mr:GongSiFuZeRenXingMing[not(@periodRef)]" w:storeItemID="{42DEBF9A-6816-48AE-BADD-E3125C474CD9}"/>
          <w:text/>
        </w:sdtPr>
        <w:sdtEndPr>
          <w:rPr>
            <w:rFonts w:hint="eastAsia"/>
          </w:rPr>
        </w:sdtEndPr>
        <w:sdtContent>
          <w:r>
            <w:rPr>
              <w:rFonts w:hint="eastAsia"/>
            </w:rPr>
            <w:t>李佳鸿</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546339042"/>
          <w:placeholder>
            <w:docPart w:val="GBC22222222222222222222222222222"/>
          </w:placeholder>
          <w:dataBinding w:prefixMappings="xmlns:clcid-mr='clcid-mr'" w:xpath="/*/clcid-mr:ZhuGuanKuaiJiGongZuoFuZeRenXingMing[not(@periodRef)]" w:storeItemID="{42DEBF9A-6816-48AE-BADD-E3125C474CD9}"/>
          <w:text/>
        </w:sdtPr>
        <w:sdtEndPr>
          <w:rPr>
            <w:rFonts w:hint="eastAsia"/>
          </w:rPr>
        </w:sdtEndPr>
        <w:sdtContent>
          <w:r>
            <w:rPr>
              <w:rFonts w:hint="eastAsia"/>
            </w:rPr>
            <w:t>迟军玉</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782874558"/>
          <w:placeholder>
            <w:docPart w:val="GBC22222222222222222222222222222"/>
          </w:placeholder>
          <w:dataBinding w:prefixMappings="xmlns:clcid-mr='clcid-mr'" w:xpath="/*/clcid-mr:KuaiJiJiGouFuZeRenXingMing[not(@periodRef)]" w:storeItemID="{42DEBF9A-6816-48AE-BADD-E3125C474CD9}"/>
          <w:text/>
        </w:sdtPr>
        <w:sdtEndPr>
          <w:rPr>
            <w:rFonts w:hint="eastAsia"/>
          </w:rPr>
        </w:sdtEndPr>
        <w:sdtContent>
          <w:r>
            <w:rPr>
              <w:rFonts w:hint="eastAsia"/>
            </w:rPr>
            <w:t>樊鸿宇</w:t>
          </w:r>
        </w:sdtContent>
      </w:sdt>
    </w:p>
    <w:p w14:paraId="39892FB1">
      <w:pPr>
        <w:rPr>
          <w:rFonts w:cs="宋体-方正超大字符集"/>
        </w:rPr>
      </w:pPr>
      <w:r>
        <w:rPr>
          <w:rFonts w:cs="宋体-方正超大字符集"/>
        </w:rPr>
        <w:br w:type="page"/>
      </w:r>
    </w:p>
    <w:p w14:paraId="1F3510B9">
      <w:pPr>
        <w:snapToGrid w:val="0"/>
        <w:spacing w:line="240" w:lineRule="atLeast"/>
        <w:ind w:right="-153" w:rightChars="-73"/>
        <w:rPr>
          <w:rFonts w:cs="宋体-方正超大字符集"/>
        </w:rPr>
      </w:pPr>
    </w:p>
    <w:p w14:paraId="0F6F2EEA">
      <w:pPr>
        <w:jc w:val="center"/>
        <w:outlineLvl w:val="2"/>
        <w:rPr>
          <w:b/>
        </w:rPr>
      </w:pPr>
      <w:r>
        <w:rPr>
          <w:rFonts w:hint="eastAsia"/>
          <w:b/>
        </w:rPr>
        <w:t>合并</w:t>
      </w:r>
      <w:r>
        <w:rPr>
          <w:b/>
        </w:rPr>
        <w:t>现金流量表</w:t>
      </w:r>
    </w:p>
    <w:p w14:paraId="6231D556">
      <w:pPr>
        <w:jc w:val="center"/>
      </w:pPr>
      <w:r>
        <w:t>2025年</w:t>
      </w:r>
      <w:r>
        <w:rPr>
          <w:rFonts w:hint="eastAsia"/>
        </w:rPr>
        <w:t>1—9</w:t>
      </w:r>
      <w:r>
        <w:t>月</w:t>
      </w:r>
    </w:p>
    <w:p w14:paraId="34AEEBA3">
      <w:pPr>
        <w:rPr>
          <w:b/>
          <w:bCs/>
        </w:rPr>
      </w:pPr>
      <w:r>
        <w:rPr>
          <w:rFonts w:hint="eastAsia"/>
        </w:rPr>
        <w:t>编制单位：</w:t>
      </w:r>
      <w:sdt>
        <w:sdtPr>
          <w:rPr>
            <w:rFonts w:hint="eastAsia"/>
          </w:rPr>
          <w:alias w:val="公司法定中文名称"/>
          <w:tag w:val="_GBC_659bcf3a5fba4c6db821cf398f3a2a15"/>
          <w:id w:val="1397395711"/>
          <w:placeholder>
            <w:docPart w:val="GBC22222222222222222222222222222"/>
          </w:placeholder>
          <w:dataBinding w:prefixMappings="xmlns:clcid-cgi='clcid-cgi'" w:xpath="/*/clcid-cgi:GongSiFaDingZhongWenMingCheng[not(@periodRef)]" w:storeItemID="{42DEBF9A-6816-48AE-BADD-E3125C474CD9}"/>
          <w:text/>
        </w:sdtPr>
        <w:sdtEndPr>
          <w:rPr>
            <w:rFonts w:hint="eastAsia"/>
          </w:rPr>
        </w:sdtEndPr>
        <w:sdtContent>
          <w:r>
            <w:rPr>
              <w:rFonts w:hint="eastAsia"/>
            </w:rPr>
            <w:t>通化东宝药业股份有限公司</w:t>
          </w:r>
        </w:sdtContent>
      </w:sdt>
    </w:p>
    <w:p w14:paraId="03550091">
      <w:pPr>
        <w:wordWrap w:val="0"/>
        <w:jc w:val="right"/>
      </w:pPr>
      <w:r>
        <w:t>单位</w:t>
      </w:r>
      <w:r>
        <w:rPr>
          <w:rFonts w:hint="eastAsia"/>
        </w:rPr>
        <w:t>：</w:t>
      </w:r>
      <w:sdt>
        <w:sdtPr>
          <w:rPr>
            <w:rFonts w:hint="eastAsia"/>
          </w:rPr>
          <w:alias w:val="单位_现金流量表"/>
          <w:tag w:val="_GBC_3c5318ba2a3e43d48ab4c6a345a17521"/>
          <w:id w:val="-3658362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19063347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3108661"/>
          <w:placeholder>
            <w:docPart w:val="GBC22222222222222222222222222222"/>
          </w:placeholder>
          <w:comboBox>
            <w:listItem w:displayText="未经审计" w:value="false"/>
            <w:listItem w:displayText="经审计" w:value="true"/>
          </w:comboBox>
        </w:sdtPr>
        <w:sdtEndPr>
          <w:rPr>
            <w:rFonts w:hint="eastAsia"/>
          </w:rPr>
        </w:sdtEndPr>
        <w:sdtContent>
          <w:r>
            <w:rPr>
              <w:rFonts w:hint="eastAsia"/>
            </w:rPr>
            <w:t>未经审计</w:t>
          </w:r>
        </w:sdtContent>
      </w:sdt>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78"/>
        <w:gridCol w:w="2543"/>
        <w:gridCol w:w="2528"/>
      </w:tblGrid>
      <w:tr w14:paraId="7978F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c61c731adb544d91afbee87ae5f2b970"/>
            <w:id w:val="1771899564"/>
          </w:sdtPr>
          <w:sdtContent>
            <w:tc>
              <w:tcPr>
                <w:tcW w:w="2198" w:type="pct"/>
                <w:tcBorders>
                  <w:top w:val="outset" w:color="auto" w:sz="6" w:space="0"/>
                  <w:left w:val="outset" w:color="auto" w:sz="6" w:space="0"/>
                  <w:bottom w:val="outset" w:color="auto" w:sz="6" w:space="0"/>
                  <w:right w:val="outset" w:color="auto" w:sz="6" w:space="0"/>
                </w:tcBorders>
                <w:vAlign w:val="center"/>
              </w:tcPr>
              <w:p w14:paraId="729D71F9">
                <w:pPr>
                  <w:jc w:val="center"/>
                  <w:rPr>
                    <w:b/>
                    <w:bCs/>
                  </w:rPr>
                </w:pPr>
                <w:r>
                  <w:rPr>
                    <w:b/>
                  </w:rPr>
                  <w:t>项目</w:t>
                </w:r>
              </w:p>
            </w:tc>
          </w:sdtContent>
        </w:sdt>
        <w:sdt>
          <w:sdtPr>
            <w:tag w:val="_PLD_3ea4691df9774977a390f0ba5e3ff34f"/>
            <w:id w:val="-1289737426"/>
          </w:sdtPr>
          <w:sdtContent>
            <w:tc>
              <w:tcPr>
                <w:tcW w:w="1405" w:type="pct"/>
                <w:tcBorders>
                  <w:top w:val="outset" w:color="auto" w:sz="6" w:space="0"/>
                  <w:left w:val="outset" w:color="auto" w:sz="6" w:space="0"/>
                  <w:bottom w:val="outset" w:color="auto" w:sz="6" w:space="0"/>
                  <w:right w:val="outset" w:color="auto" w:sz="6" w:space="0"/>
                </w:tcBorders>
                <w:vAlign w:val="center"/>
              </w:tcPr>
              <w:p w14:paraId="276004DA">
                <w:pPr>
                  <w:jc w:val="center"/>
                  <w:rPr>
                    <w:b/>
                  </w:rPr>
                </w:pPr>
                <w:r>
                  <w:rPr>
                    <w:b/>
                  </w:rPr>
                  <w:t>2025</w:t>
                </w:r>
                <w:r>
                  <w:rPr>
                    <w:rFonts w:hint="eastAsia"/>
                    <w:b/>
                  </w:rPr>
                  <w:t>年前三季度</w:t>
                </w:r>
              </w:p>
              <w:p w14:paraId="36E20E0F">
                <w:pPr>
                  <w:jc w:val="center"/>
                  <w:rPr>
                    <w:rFonts w:cs="宋体"/>
                  </w:rPr>
                </w:pPr>
                <w:r>
                  <w:rPr>
                    <w:rFonts w:hint="eastAsia" w:cs="宋体"/>
                    <w:b/>
                    <w:bCs/>
                  </w:rPr>
                  <w:t>（1-9月）</w:t>
                </w:r>
              </w:p>
            </w:tc>
          </w:sdtContent>
        </w:sdt>
        <w:sdt>
          <w:sdtPr>
            <w:tag w:val="_PLD_bfe0b7d7b88742dd8ee4f21e672e1035"/>
            <w:id w:val="-603347005"/>
          </w:sdtPr>
          <w:sdtContent>
            <w:tc>
              <w:tcPr>
                <w:tcW w:w="1397" w:type="pct"/>
                <w:tcBorders>
                  <w:top w:val="outset" w:color="auto" w:sz="6" w:space="0"/>
                  <w:left w:val="outset" w:color="auto" w:sz="6" w:space="0"/>
                  <w:bottom w:val="outset" w:color="auto" w:sz="6" w:space="0"/>
                  <w:right w:val="outset" w:color="auto" w:sz="6" w:space="0"/>
                </w:tcBorders>
                <w:vAlign w:val="center"/>
              </w:tcPr>
              <w:p w14:paraId="2A129FDB">
                <w:pPr>
                  <w:jc w:val="center"/>
                  <w:rPr>
                    <w:b/>
                  </w:rPr>
                </w:pPr>
                <w:r>
                  <w:rPr>
                    <w:b/>
                  </w:rPr>
                  <w:t>2024年</w:t>
                </w:r>
                <w:r>
                  <w:rPr>
                    <w:rFonts w:hint="eastAsia"/>
                    <w:b/>
                  </w:rPr>
                  <w:t>前三季度</w:t>
                </w:r>
              </w:p>
              <w:p w14:paraId="646F3D42">
                <w:pPr>
                  <w:jc w:val="center"/>
                  <w:rPr>
                    <w:rFonts w:cs="宋体"/>
                  </w:rPr>
                </w:pPr>
                <w:r>
                  <w:rPr>
                    <w:rFonts w:hint="eastAsia" w:cs="宋体"/>
                    <w:b/>
                    <w:bCs/>
                  </w:rPr>
                  <w:t>（1-9月）</w:t>
                </w:r>
              </w:p>
            </w:tc>
          </w:sdtContent>
        </w:sdt>
      </w:tr>
      <w:tr w14:paraId="355E0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9745ff7e44764ea9b021e005c409368e"/>
            <w:id w:val="939494091"/>
          </w:sdtPr>
          <w:sdtContent>
            <w:tc>
              <w:tcPr>
                <w:tcW w:w="5000" w:type="pct"/>
                <w:gridSpan w:val="3"/>
                <w:tcBorders>
                  <w:top w:val="outset" w:color="auto" w:sz="6" w:space="0"/>
                  <w:left w:val="outset" w:color="auto" w:sz="6" w:space="0"/>
                  <w:bottom w:val="outset" w:color="auto" w:sz="6" w:space="0"/>
                  <w:right w:val="outset" w:color="auto" w:sz="6" w:space="0"/>
                </w:tcBorders>
              </w:tcPr>
              <w:p w14:paraId="4A299328">
                <w:r>
                  <w:rPr>
                    <w:rFonts w:hint="eastAsia"/>
                    <w:b/>
                    <w:bCs/>
                  </w:rPr>
                  <w:t>一、经营活动产生的现金流量：</w:t>
                </w:r>
              </w:p>
            </w:tc>
          </w:sdtContent>
        </w:sdt>
      </w:tr>
      <w:tr w14:paraId="34105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6C4C0FA2">
            <w:pPr>
              <w:ind w:firstLine="210" w:firstLineChars="100"/>
            </w:pPr>
            <w:r>
              <w:rPr>
                <w:rFonts w:hint="eastAsia"/>
              </w:rPr>
              <w:t>销售商品、提供劳务收到的现金</w:t>
            </w:r>
          </w:p>
        </w:tc>
        <w:tc>
          <w:tcPr>
            <w:tcW w:w="1405" w:type="pct"/>
            <w:tcBorders>
              <w:top w:val="outset" w:color="auto" w:sz="6" w:space="0"/>
              <w:left w:val="outset" w:color="auto" w:sz="6" w:space="0"/>
              <w:bottom w:val="outset" w:color="auto" w:sz="6" w:space="0"/>
              <w:right w:val="outset" w:color="auto" w:sz="6" w:space="0"/>
            </w:tcBorders>
            <w:vAlign w:val="center"/>
          </w:tcPr>
          <w:p w14:paraId="5B252EDD">
            <w:pPr>
              <w:jc w:val="right"/>
            </w:pPr>
            <w:r>
              <w:t>2,190,007,375.86</w:t>
            </w:r>
          </w:p>
        </w:tc>
        <w:tc>
          <w:tcPr>
            <w:tcW w:w="1397" w:type="pct"/>
            <w:tcBorders>
              <w:top w:val="outset" w:color="auto" w:sz="6" w:space="0"/>
              <w:left w:val="outset" w:color="auto" w:sz="6" w:space="0"/>
              <w:bottom w:val="outset" w:color="auto" w:sz="6" w:space="0"/>
              <w:right w:val="outset" w:color="auto" w:sz="6" w:space="0"/>
            </w:tcBorders>
            <w:vAlign w:val="center"/>
          </w:tcPr>
          <w:p w14:paraId="0CFC47DA">
            <w:pPr>
              <w:jc w:val="right"/>
            </w:pPr>
            <w:r>
              <w:t>1,625,270,981.20</w:t>
            </w:r>
          </w:p>
        </w:tc>
      </w:tr>
      <w:tr w14:paraId="5F48C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5A49C63E">
            <w:pPr>
              <w:ind w:firstLine="210" w:firstLineChars="100"/>
            </w:pPr>
            <w:r>
              <w:rPr>
                <w:rFonts w:hint="eastAsia"/>
              </w:rPr>
              <w:t>客户存款和同业存放款项净增加额</w:t>
            </w:r>
          </w:p>
        </w:tc>
        <w:tc>
          <w:tcPr>
            <w:tcW w:w="1405" w:type="pct"/>
            <w:tcBorders>
              <w:top w:val="outset" w:color="auto" w:sz="6" w:space="0"/>
              <w:left w:val="outset" w:color="auto" w:sz="6" w:space="0"/>
              <w:bottom w:val="outset" w:color="auto" w:sz="6" w:space="0"/>
              <w:right w:val="outset" w:color="auto" w:sz="6" w:space="0"/>
            </w:tcBorders>
          </w:tcPr>
          <w:p w14:paraId="29ABB71A">
            <w:pPr>
              <w:jc w:val="right"/>
            </w:pPr>
          </w:p>
        </w:tc>
        <w:tc>
          <w:tcPr>
            <w:tcW w:w="1397" w:type="pct"/>
            <w:tcBorders>
              <w:top w:val="outset" w:color="auto" w:sz="6" w:space="0"/>
              <w:left w:val="outset" w:color="auto" w:sz="6" w:space="0"/>
              <w:bottom w:val="outset" w:color="auto" w:sz="6" w:space="0"/>
              <w:right w:val="outset" w:color="auto" w:sz="6" w:space="0"/>
            </w:tcBorders>
          </w:tcPr>
          <w:p w14:paraId="518017F5">
            <w:pPr>
              <w:jc w:val="right"/>
            </w:pPr>
          </w:p>
        </w:tc>
      </w:tr>
      <w:tr w14:paraId="4CB60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6DBCF73F">
            <w:pPr>
              <w:ind w:firstLine="210" w:firstLineChars="100"/>
            </w:pPr>
            <w:r>
              <w:rPr>
                <w:rFonts w:hint="eastAsia"/>
              </w:rPr>
              <w:t>向中央银行借款净增加额</w:t>
            </w:r>
          </w:p>
        </w:tc>
        <w:tc>
          <w:tcPr>
            <w:tcW w:w="1405" w:type="pct"/>
            <w:tcBorders>
              <w:top w:val="outset" w:color="auto" w:sz="6" w:space="0"/>
              <w:left w:val="outset" w:color="auto" w:sz="6" w:space="0"/>
              <w:bottom w:val="outset" w:color="auto" w:sz="6" w:space="0"/>
              <w:right w:val="outset" w:color="auto" w:sz="6" w:space="0"/>
            </w:tcBorders>
          </w:tcPr>
          <w:p w14:paraId="7A625ECE">
            <w:pPr>
              <w:jc w:val="right"/>
            </w:pPr>
          </w:p>
        </w:tc>
        <w:tc>
          <w:tcPr>
            <w:tcW w:w="1397" w:type="pct"/>
            <w:tcBorders>
              <w:top w:val="outset" w:color="auto" w:sz="6" w:space="0"/>
              <w:left w:val="outset" w:color="auto" w:sz="6" w:space="0"/>
              <w:bottom w:val="outset" w:color="auto" w:sz="6" w:space="0"/>
              <w:right w:val="outset" w:color="auto" w:sz="6" w:space="0"/>
            </w:tcBorders>
          </w:tcPr>
          <w:p w14:paraId="541F7C56">
            <w:pPr>
              <w:jc w:val="right"/>
            </w:pPr>
          </w:p>
        </w:tc>
      </w:tr>
      <w:tr w14:paraId="7CA36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5D747474">
            <w:pPr>
              <w:ind w:firstLine="210" w:firstLineChars="100"/>
            </w:pPr>
            <w:r>
              <w:rPr>
                <w:rFonts w:hint="eastAsia"/>
              </w:rPr>
              <w:t>向其他金融机构拆入资金净增加额</w:t>
            </w:r>
          </w:p>
        </w:tc>
        <w:tc>
          <w:tcPr>
            <w:tcW w:w="1405" w:type="pct"/>
            <w:tcBorders>
              <w:top w:val="outset" w:color="auto" w:sz="6" w:space="0"/>
              <w:left w:val="outset" w:color="auto" w:sz="6" w:space="0"/>
              <w:bottom w:val="outset" w:color="auto" w:sz="6" w:space="0"/>
              <w:right w:val="outset" w:color="auto" w:sz="6" w:space="0"/>
            </w:tcBorders>
          </w:tcPr>
          <w:p w14:paraId="21BD8D4B">
            <w:pPr>
              <w:jc w:val="right"/>
            </w:pPr>
          </w:p>
        </w:tc>
        <w:tc>
          <w:tcPr>
            <w:tcW w:w="1397" w:type="pct"/>
            <w:tcBorders>
              <w:top w:val="outset" w:color="auto" w:sz="6" w:space="0"/>
              <w:left w:val="outset" w:color="auto" w:sz="6" w:space="0"/>
              <w:bottom w:val="outset" w:color="auto" w:sz="6" w:space="0"/>
              <w:right w:val="outset" w:color="auto" w:sz="6" w:space="0"/>
            </w:tcBorders>
          </w:tcPr>
          <w:p w14:paraId="6A5B8FA9">
            <w:pPr>
              <w:jc w:val="right"/>
            </w:pPr>
          </w:p>
        </w:tc>
      </w:tr>
      <w:tr w14:paraId="7C081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120F54BB">
            <w:pPr>
              <w:ind w:firstLine="210" w:firstLineChars="100"/>
            </w:pPr>
            <w:r>
              <w:rPr>
                <w:rFonts w:hint="eastAsia"/>
              </w:rPr>
              <w:t>收到原保险合同保费取得的现金</w:t>
            </w:r>
          </w:p>
        </w:tc>
        <w:tc>
          <w:tcPr>
            <w:tcW w:w="1405" w:type="pct"/>
            <w:tcBorders>
              <w:top w:val="outset" w:color="auto" w:sz="6" w:space="0"/>
              <w:left w:val="outset" w:color="auto" w:sz="6" w:space="0"/>
              <w:bottom w:val="outset" w:color="auto" w:sz="6" w:space="0"/>
              <w:right w:val="outset" w:color="auto" w:sz="6" w:space="0"/>
            </w:tcBorders>
          </w:tcPr>
          <w:p w14:paraId="4FB9DA31">
            <w:pPr>
              <w:jc w:val="right"/>
            </w:pPr>
          </w:p>
        </w:tc>
        <w:tc>
          <w:tcPr>
            <w:tcW w:w="1397" w:type="pct"/>
            <w:tcBorders>
              <w:top w:val="outset" w:color="auto" w:sz="6" w:space="0"/>
              <w:left w:val="outset" w:color="auto" w:sz="6" w:space="0"/>
              <w:bottom w:val="outset" w:color="auto" w:sz="6" w:space="0"/>
              <w:right w:val="outset" w:color="auto" w:sz="6" w:space="0"/>
            </w:tcBorders>
          </w:tcPr>
          <w:p w14:paraId="6163B8E2">
            <w:pPr>
              <w:jc w:val="right"/>
            </w:pPr>
          </w:p>
        </w:tc>
      </w:tr>
      <w:tr w14:paraId="52DF2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46B33CB3">
            <w:pPr>
              <w:ind w:firstLine="210" w:firstLineChars="100"/>
            </w:pPr>
            <w:r>
              <w:rPr>
                <w:rFonts w:hint="eastAsia"/>
              </w:rPr>
              <w:t>收到再保业务现金净额</w:t>
            </w:r>
          </w:p>
        </w:tc>
        <w:tc>
          <w:tcPr>
            <w:tcW w:w="1405" w:type="pct"/>
            <w:tcBorders>
              <w:top w:val="outset" w:color="auto" w:sz="6" w:space="0"/>
              <w:left w:val="outset" w:color="auto" w:sz="6" w:space="0"/>
              <w:bottom w:val="outset" w:color="auto" w:sz="6" w:space="0"/>
              <w:right w:val="outset" w:color="auto" w:sz="6" w:space="0"/>
            </w:tcBorders>
          </w:tcPr>
          <w:p w14:paraId="2818F575">
            <w:pPr>
              <w:jc w:val="right"/>
            </w:pPr>
          </w:p>
        </w:tc>
        <w:tc>
          <w:tcPr>
            <w:tcW w:w="1397" w:type="pct"/>
            <w:tcBorders>
              <w:top w:val="outset" w:color="auto" w:sz="6" w:space="0"/>
              <w:left w:val="outset" w:color="auto" w:sz="6" w:space="0"/>
              <w:bottom w:val="outset" w:color="auto" w:sz="6" w:space="0"/>
              <w:right w:val="outset" w:color="auto" w:sz="6" w:space="0"/>
            </w:tcBorders>
          </w:tcPr>
          <w:p w14:paraId="2BC2F443">
            <w:pPr>
              <w:jc w:val="right"/>
            </w:pPr>
          </w:p>
        </w:tc>
      </w:tr>
      <w:tr w14:paraId="5DC48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1AECBF40">
            <w:pPr>
              <w:ind w:firstLine="210" w:firstLineChars="100"/>
            </w:pPr>
            <w:r>
              <w:rPr>
                <w:rFonts w:hint="eastAsia"/>
              </w:rPr>
              <w:t>保户储金及投资款净增加额</w:t>
            </w:r>
          </w:p>
        </w:tc>
        <w:tc>
          <w:tcPr>
            <w:tcW w:w="1405" w:type="pct"/>
            <w:tcBorders>
              <w:top w:val="outset" w:color="auto" w:sz="6" w:space="0"/>
              <w:left w:val="outset" w:color="auto" w:sz="6" w:space="0"/>
              <w:bottom w:val="outset" w:color="auto" w:sz="6" w:space="0"/>
              <w:right w:val="outset" w:color="auto" w:sz="6" w:space="0"/>
            </w:tcBorders>
          </w:tcPr>
          <w:p w14:paraId="2221206B">
            <w:pPr>
              <w:jc w:val="right"/>
            </w:pPr>
          </w:p>
        </w:tc>
        <w:tc>
          <w:tcPr>
            <w:tcW w:w="1397" w:type="pct"/>
            <w:tcBorders>
              <w:top w:val="outset" w:color="auto" w:sz="6" w:space="0"/>
              <w:left w:val="outset" w:color="auto" w:sz="6" w:space="0"/>
              <w:bottom w:val="outset" w:color="auto" w:sz="6" w:space="0"/>
              <w:right w:val="outset" w:color="auto" w:sz="6" w:space="0"/>
            </w:tcBorders>
          </w:tcPr>
          <w:p w14:paraId="7C6A688F">
            <w:pPr>
              <w:jc w:val="right"/>
            </w:pPr>
          </w:p>
        </w:tc>
      </w:tr>
      <w:tr w14:paraId="4E622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3C3AB80">
            <w:pPr>
              <w:ind w:firstLine="210" w:firstLineChars="100"/>
            </w:pPr>
            <w:r>
              <w:rPr>
                <w:rFonts w:hint="eastAsia"/>
              </w:rPr>
              <w:t>收取利息、手续费及佣金的现金</w:t>
            </w:r>
          </w:p>
        </w:tc>
        <w:tc>
          <w:tcPr>
            <w:tcW w:w="1405" w:type="pct"/>
            <w:tcBorders>
              <w:top w:val="outset" w:color="auto" w:sz="6" w:space="0"/>
              <w:left w:val="outset" w:color="auto" w:sz="6" w:space="0"/>
              <w:bottom w:val="outset" w:color="auto" w:sz="6" w:space="0"/>
              <w:right w:val="outset" w:color="auto" w:sz="6" w:space="0"/>
            </w:tcBorders>
          </w:tcPr>
          <w:p w14:paraId="467D3DB0">
            <w:pPr>
              <w:jc w:val="right"/>
            </w:pPr>
          </w:p>
        </w:tc>
        <w:tc>
          <w:tcPr>
            <w:tcW w:w="1397" w:type="pct"/>
            <w:tcBorders>
              <w:top w:val="outset" w:color="auto" w:sz="6" w:space="0"/>
              <w:left w:val="outset" w:color="auto" w:sz="6" w:space="0"/>
              <w:bottom w:val="outset" w:color="auto" w:sz="6" w:space="0"/>
              <w:right w:val="outset" w:color="auto" w:sz="6" w:space="0"/>
            </w:tcBorders>
          </w:tcPr>
          <w:p w14:paraId="746194A7">
            <w:pPr>
              <w:jc w:val="right"/>
            </w:pPr>
          </w:p>
        </w:tc>
      </w:tr>
      <w:tr w14:paraId="327A5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5CC9AB0A">
            <w:pPr>
              <w:ind w:firstLine="210" w:firstLineChars="100"/>
            </w:pPr>
            <w:r>
              <w:rPr>
                <w:rFonts w:hint="eastAsia"/>
              </w:rPr>
              <w:t>拆入资金净增加额</w:t>
            </w:r>
          </w:p>
        </w:tc>
        <w:tc>
          <w:tcPr>
            <w:tcW w:w="1405" w:type="pct"/>
            <w:tcBorders>
              <w:top w:val="outset" w:color="auto" w:sz="6" w:space="0"/>
              <w:left w:val="outset" w:color="auto" w:sz="6" w:space="0"/>
              <w:bottom w:val="outset" w:color="auto" w:sz="6" w:space="0"/>
              <w:right w:val="outset" w:color="auto" w:sz="6" w:space="0"/>
            </w:tcBorders>
          </w:tcPr>
          <w:p w14:paraId="1655070C">
            <w:pPr>
              <w:jc w:val="right"/>
            </w:pPr>
          </w:p>
        </w:tc>
        <w:tc>
          <w:tcPr>
            <w:tcW w:w="1397" w:type="pct"/>
            <w:tcBorders>
              <w:top w:val="outset" w:color="auto" w:sz="6" w:space="0"/>
              <w:left w:val="outset" w:color="auto" w:sz="6" w:space="0"/>
              <w:bottom w:val="outset" w:color="auto" w:sz="6" w:space="0"/>
              <w:right w:val="outset" w:color="auto" w:sz="6" w:space="0"/>
            </w:tcBorders>
          </w:tcPr>
          <w:p w14:paraId="639A548D">
            <w:pPr>
              <w:jc w:val="right"/>
            </w:pPr>
          </w:p>
        </w:tc>
      </w:tr>
      <w:tr w14:paraId="531B2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31B9F22C">
            <w:pPr>
              <w:ind w:firstLine="210" w:firstLineChars="100"/>
            </w:pPr>
            <w:r>
              <w:rPr>
                <w:rFonts w:hint="eastAsia"/>
              </w:rPr>
              <w:t>回购业务资金净增加额</w:t>
            </w:r>
          </w:p>
        </w:tc>
        <w:tc>
          <w:tcPr>
            <w:tcW w:w="1405" w:type="pct"/>
            <w:tcBorders>
              <w:top w:val="outset" w:color="auto" w:sz="6" w:space="0"/>
              <w:left w:val="outset" w:color="auto" w:sz="6" w:space="0"/>
              <w:bottom w:val="outset" w:color="auto" w:sz="6" w:space="0"/>
              <w:right w:val="outset" w:color="auto" w:sz="6" w:space="0"/>
            </w:tcBorders>
          </w:tcPr>
          <w:p w14:paraId="775A4475">
            <w:pPr>
              <w:jc w:val="right"/>
            </w:pPr>
          </w:p>
        </w:tc>
        <w:tc>
          <w:tcPr>
            <w:tcW w:w="1397" w:type="pct"/>
            <w:tcBorders>
              <w:top w:val="outset" w:color="auto" w:sz="6" w:space="0"/>
              <w:left w:val="outset" w:color="auto" w:sz="6" w:space="0"/>
              <w:bottom w:val="outset" w:color="auto" w:sz="6" w:space="0"/>
              <w:right w:val="outset" w:color="auto" w:sz="6" w:space="0"/>
            </w:tcBorders>
          </w:tcPr>
          <w:p w14:paraId="3788FB14">
            <w:pPr>
              <w:jc w:val="right"/>
            </w:pPr>
          </w:p>
        </w:tc>
      </w:tr>
      <w:tr w14:paraId="1A106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769CCC4">
            <w:pPr>
              <w:ind w:firstLine="210" w:firstLineChars="100"/>
            </w:pPr>
            <w:r>
              <w:t>代理买卖证券收到的现金净额</w:t>
            </w:r>
          </w:p>
        </w:tc>
        <w:tc>
          <w:tcPr>
            <w:tcW w:w="1405" w:type="pct"/>
            <w:tcBorders>
              <w:top w:val="outset" w:color="auto" w:sz="6" w:space="0"/>
              <w:left w:val="outset" w:color="auto" w:sz="6" w:space="0"/>
              <w:bottom w:val="outset" w:color="auto" w:sz="6" w:space="0"/>
              <w:right w:val="outset" w:color="auto" w:sz="6" w:space="0"/>
            </w:tcBorders>
          </w:tcPr>
          <w:p w14:paraId="22B4C6EC">
            <w:pPr>
              <w:jc w:val="right"/>
            </w:pPr>
          </w:p>
        </w:tc>
        <w:tc>
          <w:tcPr>
            <w:tcW w:w="1397" w:type="pct"/>
            <w:tcBorders>
              <w:top w:val="outset" w:color="auto" w:sz="6" w:space="0"/>
              <w:left w:val="outset" w:color="auto" w:sz="6" w:space="0"/>
              <w:bottom w:val="outset" w:color="auto" w:sz="6" w:space="0"/>
              <w:right w:val="outset" w:color="auto" w:sz="6" w:space="0"/>
            </w:tcBorders>
          </w:tcPr>
          <w:p w14:paraId="736D5A1D">
            <w:pPr>
              <w:jc w:val="right"/>
            </w:pPr>
          </w:p>
        </w:tc>
      </w:tr>
      <w:tr w14:paraId="0C91F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684B3E8E">
            <w:pPr>
              <w:ind w:firstLine="210" w:firstLineChars="100"/>
            </w:pPr>
            <w:r>
              <w:rPr>
                <w:rFonts w:hint="eastAsia"/>
              </w:rPr>
              <w:t>收到的税费返还</w:t>
            </w:r>
          </w:p>
        </w:tc>
        <w:tc>
          <w:tcPr>
            <w:tcW w:w="1405" w:type="pct"/>
            <w:tcBorders>
              <w:top w:val="outset" w:color="auto" w:sz="6" w:space="0"/>
              <w:left w:val="outset" w:color="auto" w:sz="6" w:space="0"/>
              <w:bottom w:val="outset" w:color="auto" w:sz="6" w:space="0"/>
              <w:right w:val="outset" w:color="auto" w:sz="6" w:space="0"/>
            </w:tcBorders>
            <w:vAlign w:val="center"/>
          </w:tcPr>
          <w:p w14:paraId="29065E62">
            <w:pPr>
              <w:jc w:val="right"/>
            </w:pPr>
            <w:r>
              <w:t>414,234.86</w:t>
            </w:r>
          </w:p>
        </w:tc>
        <w:tc>
          <w:tcPr>
            <w:tcW w:w="1397" w:type="pct"/>
            <w:tcBorders>
              <w:top w:val="outset" w:color="auto" w:sz="6" w:space="0"/>
              <w:left w:val="outset" w:color="auto" w:sz="6" w:space="0"/>
              <w:bottom w:val="outset" w:color="auto" w:sz="6" w:space="0"/>
              <w:right w:val="outset" w:color="auto" w:sz="6" w:space="0"/>
            </w:tcBorders>
            <w:vAlign w:val="center"/>
          </w:tcPr>
          <w:p w14:paraId="14B22E6F">
            <w:pPr>
              <w:jc w:val="right"/>
            </w:pPr>
            <w:r>
              <w:t>-</w:t>
            </w:r>
          </w:p>
        </w:tc>
      </w:tr>
      <w:tr w14:paraId="0897B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FDCC5A8">
            <w:pPr>
              <w:ind w:firstLine="210" w:firstLineChars="100"/>
            </w:pPr>
            <w:r>
              <w:rPr>
                <w:rFonts w:hint="eastAsia"/>
              </w:rPr>
              <w:t>收到其他与经营活动有关的现金</w:t>
            </w:r>
          </w:p>
        </w:tc>
        <w:tc>
          <w:tcPr>
            <w:tcW w:w="1405" w:type="pct"/>
            <w:tcBorders>
              <w:top w:val="outset" w:color="auto" w:sz="6" w:space="0"/>
              <w:left w:val="outset" w:color="auto" w:sz="6" w:space="0"/>
              <w:bottom w:val="outset" w:color="auto" w:sz="6" w:space="0"/>
              <w:right w:val="outset" w:color="auto" w:sz="6" w:space="0"/>
            </w:tcBorders>
            <w:vAlign w:val="center"/>
          </w:tcPr>
          <w:p w14:paraId="70CCF76D">
            <w:pPr>
              <w:jc w:val="right"/>
            </w:pPr>
            <w:r>
              <w:t>70,383,831.39</w:t>
            </w:r>
          </w:p>
        </w:tc>
        <w:tc>
          <w:tcPr>
            <w:tcW w:w="1397" w:type="pct"/>
            <w:tcBorders>
              <w:top w:val="outset" w:color="auto" w:sz="6" w:space="0"/>
              <w:left w:val="outset" w:color="auto" w:sz="6" w:space="0"/>
              <w:bottom w:val="outset" w:color="auto" w:sz="6" w:space="0"/>
              <w:right w:val="outset" w:color="auto" w:sz="6" w:space="0"/>
            </w:tcBorders>
            <w:vAlign w:val="center"/>
          </w:tcPr>
          <w:p w14:paraId="5AB23B17">
            <w:pPr>
              <w:jc w:val="right"/>
            </w:pPr>
            <w:r>
              <w:t>28,515,629.22</w:t>
            </w:r>
          </w:p>
        </w:tc>
      </w:tr>
      <w:tr w14:paraId="7ACFF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5B03088">
            <w:pPr>
              <w:ind w:firstLine="420" w:firstLineChars="200"/>
            </w:pPr>
            <w:r>
              <w:rPr>
                <w:rFonts w:hint="eastAsia"/>
              </w:rPr>
              <w:t>经营活动现金流入小计</w:t>
            </w:r>
          </w:p>
        </w:tc>
        <w:tc>
          <w:tcPr>
            <w:tcW w:w="1405" w:type="pct"/>
            <w:tcBorders>
              <w:top w:val="outset" w:color="auto" w:sz="6" w:space="0"/>
              <w:left w:val="outset" w:color="auto" w:sz="6" w:space="0"/>
              <w:bottom w:val="outset" w:color="auto" w:sz="6" w:space="0"/>
              <w:right w:val="outset" w:color="auto" w:sz="6" w:space="0"/>
            </w:tcBorders>
            <w:vAlign w:val="center"/>
          </w:tcPr>
          <w:p w14:paraId="7740120E">
            <w:pPr>
              <w:jc w:val="right"/>
            </w:pPr>
            <w:r>
              <w:t>2,260,805,442.11</w:t>
            </w:r>
          </w:p>
        </w:tc>
        <w:tc>
          <w:tcPr>
            <w:tcW w:w="1397" w:type="pct"/>
            <w:tcBorders>
              <w:top w:val="outset" w:color="auto" w:sz="6" w:space="0"/>
              <w:left w:val="outset" w:color="auto" w:sz="6" w:space="0"/>
              <w:bottom w:val="outset" w:color="auto" w:sz="6" w:space="0"/>
              <w:right w:val="outset" w:color="auto" w:sz="6" w:space="0"/>
            </w:tcBorders>
            <w:vAlign w:val="center"/>
          </w:tcPr>
          <w:p w14:paraId="161E181E">
            <w:pPr>
              <w:jc w:val="right"/>
            </w:pPr>
            <w:r>
              <w:t>1,653,786,610.42</w:t>
            </w:r>
          </w:p>
        </w:tc>
      </w:tr>
      <w:tr w14:paraId="19647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2E66394B">
            <w:pPr>
              <w:ind w:firstLine="210" w:firstLineChars="100"/>
            </w:pPr>
            <w:r>
              <w:rPr>
                <w:rFonts w:hint="eastAsia"/>
              </w:rPr>
              <w:t>购买商品、接受劳务支付的现金</w:t>
            </w:r>
          </w:p>
        </w:tc>
        <w:tc>
          <w:tcPr>
            <w:tcW w:w="1405" w:type="pct"/>
            <w:tcBorders>
              <w:top w:val="outset" w:color="auto" w:sz="6" w:space="0"/>
              <w:left w:val="outset" w:color="auto" w:sz="6" w:space="0"/>
              <w:bottom w:val="outset" w:color="auto" w:sz="6" w:space="0"/>
              <w:right w:val="outset" w:color="auto" w:sz="6" w:space="0"/>
            </w:tcBorders>
            <w:vAlign w:val="center"/>
          </w:tcPr>
          <w:p w14:paraId="6BBD2FC9">
            <w:pPr>
              <w:jc w:val="right"/>
            </w:pPr>
            <w:r>
              <w:t>427,619,119.15</w:t>
            </w:r>
          </w:p>
        </w:tc>
        <w:tc>
          <w:tcPr>
            <w:tcW w:w="1397" w:type="pct"/>
            <w:tcBorders>
              <w:top w:val="outset" w:color="auto" w:sz="6" w:space="0"/>
              <w:left w:val="outset" w:color="auto" w:sz="6" w:space="0"/>
              <w:bottom w:val="outset" w:color="auto" w:sz="6" w:space="0"/>
              <w:right w:val="outset" w:color="auto" w:sz="6" w:space="0"/>
            </w:tcBorders>
            <w:vAlign w:val="center"/>
          </w:tcPr>
          <w:p w14:paraId="353F5D51">
            <w:pPr>
              <w:jc w:val="right"/>
            </w:pPr>
            <w:r>
              <w:t>362,118,345.37</w:t>
            </w:r>
          </w:p>
        </w:tc>
      </w:tr>
      <w:tr w14:paraId="4DDBD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2FB0C92C">
            <w:pPr>
              <w:ind w:firstLine="210" w:firstLineChars="100"/>
            </w:pPr>
            <w:r>
              <w:rPr>
                <w:rFonts w:hint="eastAsia"/>
              </w:rPr>
              <w:t>客户贷款及垫款净增加额</w:t>
            </w:r>
          </w:p>
        </w:tc>
        <w:tc>
          <w:tcPr>
            <w:tcW w:w="1405" w:type="pct"/>
            <w:tcBorders>
              <w:top w:val="outset" w:color="auto" w:sz="6" w:space="0"/>
              <w:left w:val="outset" w:color="auto" w:sz="6" w:space="0"/>
              <w:bottom w:val="outset" w:color="auto" w:sz="6" w:space="0"/>
              <w:right w:val="outset" w:color="auto" w:sz="6" w:space="0"/>
            </w:tcBorders>
          </w:tcPr>
          <w:p w14:paraId="350AE060">
            <w:pPr>
              <w:jc w:val="right"/>
            </w:pPr>
          </w:p>
        </w:tc>
        <w:tc>
          <w:tcPr>
            <w:tcW w:w="1397" w:type="pct"/>
            <w:tcBorders>
              <w:top w:val="outset" w:color="auto" w:sz="6" w:space="0"/>
              <w:left w:val="outset" w:color="auto" w:sz="6" w:space="0"/>
              <w:bottom w:val="outset" w:color="auto" w:sz="6" w:space="0"/>
              <w:right w:val="outset" w:color="auto" w:sz="6" w:space="0"/>
            </w:tcBorders>
          </w:tcPr>
          <w:p w14:paraId="409CCF18">
            <w:pPr>
              <w:jc w:val="right"/>
            </w:pPr>
          </w:p>
        </w:tc>
      </w:tr>
      <w:tr w14:paraId="47425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4250253B">
            <w:pPr>
              <w:ind w:firstLine="210" w:firstLineChars="100"/>
            </w:pPr>
            <w:r>
              <w:rPr>
                <w:rFonts w:hint="eastAsia"/>
              </w:rPr>
              <w:t>存放中央银行和同业款项净增加额</w:t>
            </w:r>
          </w:p>
        </w:tc>
        <w:tc>
          <w:tcPr>
            <w:tcW w:w="1405" w:type="pct"/>
            <w:tcBorders>
              <w:top w:val="outset" w:color="auto" w:sz="6" w:space="0"/>
              <w:left w:val="outset" w:color="auto" w:sz="6" w:space="0"/>
              <w:bottom w:val="outset" w:color="auto" w:sz="6" w:space="0"/>
              <w:right w:val="outset" w:color="auto" w:sz="6" w:space="0"/>
            </w:tcBorders>
          </w:tcPr>
          <w:p w14:paraId="443AEF4C">
            <w:pPr>
              <w:jc w:val="right"/>
            </w:pPr>
          </w:p>
        </w:tc>
        <w:tc>
          <w:tcPr>
            <w:tcW w:w="1397" w:type="pct"/>
            <w:tcBorders>
              <w:top w:val="outset" w:color="auto" w:sz="6" w:space="0"/>
              <w:left w:val="outset" w:color="auto" w:sz="6" w:space="0"/>
              <w:bottom w:val="outset" w:color="auto" w:sz="6" w:space="0"/>
              <w:right w:val="outset" w:color="auto" w:sz="6" w:space="0"/>
            </w:tcBorders>
          </w:tcPr>
          <w:p w14:paraId="01586F55">
            <w:pPr>
              <w:jc w:val="right"/>
            </w:pPr>
          </w:p>
        </w:tc>
      </w:tr>
      <w:tr w14:paraId="2B3AA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8538283">
            <w:pPr>
              <w:ind w:firstLine="210" w:firstLineChars="100"/>
            </w:pPr>
            <w:r>
              <w:rPr>
                <w:rFonts w:hint="eastAsia"/>
              </w:rPr>
              <w:t>支付原保险合同赔付款项的现金</w:t>
            </w:r>
          </w:p>
        </w:tc>
        <w:tc>
          <w:tcPr>
            <w:tcW w:w="1405" w:type="pct"/>
            <w:tcBorders>
              <w:top w:val="outset" w:color="auto" w:sz="6" w:space="0"/>
              <w:left w:val="outset" w:color="auto" w:sz="6" w:space="0"/>
              <w:bottom w:val="outset" w:color="auto" w:sz="6" w:space="0"/>
              <w:right w:val="outset" w:color="auto" w:sz="6" w:space="0"/>
            </w:tcBorders>
          </w:tcPr>
          <w:p w14:paraId="14B8EE44">
            <w:pPr>
              <w:jc w:val="right"/>
            </w:pPr>
          </w:p>
        </w:tc>
        <w:tc>
          <w:tcPr>
            <w:tcW w:w="1397" w:type="pct"/>
            <w:tcBorders>
              <w:top w:val="outset" w:color="auto" w:sz="6" w:space="0"/>
              <w:left w:val="outset" w:color="auto" w:sz="6" w:space="0"/>
              <w:bottom w:val="outset" w:color="auto" w:sz="6" w:space="0"/>
              <w:right w:val="outset" w:color="auto" w:sz="6" w:space="0"/>
            </w:tcBorders>
          </w:tcPr>
          <w:p w14:paraId="39B421D1">
            <w:pPr>
              <w:jc w:val="right"/>
            </w:pPr>
          </w:p>
        </w:tc>
      </w:tr>
      <w:tr w14:paraId="10267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2E0C2060">
            <w:pPr>
              <w:ind w:firstLine="210" w:firstLineChars="100"/>
            </w:pPr>
            <w:r>
              <w:t>拆出资金净增加额</w:t>
            </w:r>
          </w:p>
        </w:tc>
        <w:tc>
          <w:tcPr>
            <w:tcW w:w="1405" w:type="pct"/>
            <w:tcBorders>
              <w:top w:val="outset" w:color="auto" w:sz="6" w:space="0"/>
              <w:left w:val="outset" w:color="auto" w:sz="6" w:space="0"/>
              <w:bottom w:val="outset" w:color="auto" w:sz="6" w:space="0"/>
              <w:right w:val="outset" w:color="auto" w:sz="6" w:space="0"/>
            </w:tcBorders>
          </w:tcPr>
          <w:p w14:paraId="6D450752">
            <w:pPr>
              <w:jc w:val="right"/>
            </w:pPr>
          </w:p>
        </w:tc>
        <w:tc>
          <w:tcPr>
            <w:tcW w:w="1397" w:type="pct"/>
            <w:tcBorders>
              <w:top w:val="outset" w:color="auto" w:sz="6" w:space="0"/>
              <w:left w:val="outset" w:color="auto" w:sz="6" w:space="0"/>
              <w:bottom w:val="outset" w:color="auto" w:sz="6" w:space="0"/>
              <w:right w:val="outset" w:color="auto" w:sz="6" w:space="0"/>
            </w:tcBorders>
          </w:tcPr>
          <w:p w14:paraId="1F5905D3">
            <w:pPr>
              <w:jc w:val="right"/>
            </w:pPr>
          </w:p>
        </w:tc>
      </w:tr>
      <w:tr w14:paraId="56FD3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53F666A8">
            <w:pPr>
              <w:ind w:firstLine="210" w:firstLineChars="100"/>
            </w:pPr>
            <w:r>
              <w:rPr>
                <w:rFonts w:hint="eastAsia"/>
              </w:rPr>
              <w:t>支付利息、手续费及佣金的现金</w:t>
            </w:r>
          </w:p>
        </w:tc>
        <w:tc>
          <w:tcPr>
            <w:tcW w:w="1405" w:type="pct"/>
            <w:tcBorders>
              <w:top w:val="outset" w:color="auto" w:sz="6" w:space="0"/>
              <w:left w:val="outset" w:color="auto" w:sz="6" w:space="0"/>
              <w:bottom w:val="outset" w:color="auto" w:sz="6" w:space="0"/>
              <w:right w:val="outset" w:color="auto" w:sz="6" w:space="0"/>
            </w:tcBorders>
          </w:tcPr>
          <w:p w14:paraId="5E040875">
            <w:pPr>
              <w:jc w:val="right"/>
            </w:pPr>
          </w:p>
        </w:tc>
        <w:tc>
          <w:tcPr>
            <w:tcW w:w="1397" w:type="pct"/>
            <w:tcBorders>
              <w:top w:val="outset" w:color="auto" w:sz="6" w:space="0"/>
              <w:left w:val="outset" w:color="auto" w:sz="6" w:space="0"/>
              <w:bottom w:val="outset" w:color="auto" w:sz="6" w:space="0"/>
              <w:right w:val="outset" w:color="auto" w:sz="6" w:space="0"/>
            </w:tcBorders>
          </w:tcPr>
          <w:p w14:paraId="2AE80C10">
            <w:pPr>
              <w:jc w:val="right"/>
            </w:pPr>
          </w:p>
        </w:tc>
      </w:tr>
      <w:tr w14:paraId="1CC8B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7CF981D8">
            <w:pPr>
              <w:ind w:firstLine="210" w:firstLineChars="100"/>
            </w:pPr>
            <w:r>
              <w:rPr>
                <w:rFonts w:hint="eastAsia"/>
              </w:rPr>
              <w:t>支付保单红利的现金</w:t>
            </w:r>
          </w:p>
        </w:tc>
        <w:tc>
          <w:tcPr>
            <w:tcW w:w="1405" w:type="pct"/>
            <w:tcBorders>
              <w:top w:val="outset" w:color="auto" w:sz="6" w:space="0"/>
              <w:left w:val="outset" w:color="auto" w:sz="6" w:space="0"/>
              <w:bottom w:val="outset" w:color="auto" w:sz="6" w:space="0"/>
              <w:right w:val="outset" w:color="auto" w:sz="6" w:space="0"/>
            </w:tcBorders>
          </w:tcPr>
          <w:p w14:paraId="482A94B5">
            <w:pPr>
              <w:jc w:val="right"/>
            </w:pPr>
          </w:p>
        </w:tc>
        <w:tc>
          <w:tcPr>
            <w:tcW w:w="1397" w:type="pct"/>
            <w:tcBorders>
              <w:top w:val="outset" w:color="auto" w:sz="6" w:space="0"/>
              <w:left w:val="outset" w:color="auto" w:sz="6" w:space="0"/>
              <w:bottom w:val="outset" w:color="auto" w:sz="6" w:space="0"/>
              <w:right w:val="outset" w:color="auto" w:sz="6" w:space="0"/>
            </w:tcBorders>
          </w:tcPr>
          <w:p w14:paraId="61C486FE">
            <w:pPr>
              <w:jc w:val="right"/>
            </w:pPr>
          </w:p>
        </w:tc>
      </w:tr>
      <w:tr w14:paraId="3C04F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156F450C">
            <w:pPr>
              <w:ind w:firstLine="210" w:firstLineChars="100"/>
            </w:pPr>
            <w:r>
              <w:rPr>
                <w:rFonts w:hint="eastAsia"/>
              </w:rPr>
              <w:t>支付给职工及为职工支付的现金</w:t>
            </w:r>
          </w:p>
        </w:tc>
        <w:tc>
          <w:tcPr>
            <w:tcW w:w="1405" w:type="pct"/>
            <w:tcBorders>
              <w:top w:val="outset" w:color="auto" w:sz="6" w:space="0"/>
              <w:left w:val="outset" w:color="auto" w:sz="6" w:space="0"/>
              <w:bottom w:val="outset" w:color="auto" w:sz="6" w:space="0"/>
              <w:right w:val="outset" w:color="auto" w:sz="6" w:space="0"/>
            </w:tcBorders>
            <w:vAlign w:val="center"/>
          </w:tcPr>
          <w:p w14:paraId="03619C83">
            <w:pPr>
              <w:jc w:val="right"/>
            </w:pPr>
            <w:r>
              <w:t>459,849,685.68</w:t>
            </w:r>
          </w:p>
        </w:tc>
        <w:tc>
          <w:tcPr>
            <w:tcW w:w="1397" w:type="pct"/>
            <w:tcBorders>
              <w:top w:val="outset" w:color="auto" w:sz="6" w:space="0"/>
              <w:left w:val="outset" w:color="auto" w:sz="6" w:space="0"/>
              <w:bottom w:val="outset" w:color="auto" w:sz="6" w:space="0"/>
              <w:right w:val="outset" w:color="auto" w:sz="6" w:space="0"/>
            </w:tcBorders>
            <w:vAlign w:val="center"/>
          </w:tcPr>
          <w:p w14:paraId="5E55BED1">
            <w:pPr>
              <w:jc w:val="right"/>
            </w:pPr>
            <w:r>
              <w:t>287,153,668.00</w:t>
            </w:r>
          </w:p>
        </w:tc>
      </w:tr>
      <w:tr w14:paraId="77711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77C4D0C2">
            <w:pPr>
              <w:ind w:firstLine="210" w:firstLineChars="100"/>
            </w:pPr>
            <w:r>
              <w:rPr>
                <w:rFonts w:hint="eastAsia"/>
              </w:rPr>
              <w:t>支付的各项税费</w:t>
            </w:r>
          </w:p>
        </w:tc>
        <w:tc>
          <w:tcPr>
            <w:tcW w:w="1405" w:type="pct"/>
            <w:tcBorders>
              <w:top w:val="outset" w:color="auto" w:sz="6" w:space="0"/>
              <w:left w:val="outset" w:color="auto" w:sz="6" w:space="0"/>
              <w:bottom w:val="outset" w:color="auto" w:sz="6" w:space="0"/>
              <w:right w:val="outset" w:color="auto" w:sz="6" w:space="0"/>
            </w:tcBorders>
            <w:vAlign w:val="center"/>
          </w:tcPr>
          <w:p w14:paraId="61ACF6FD">
            <w:pPr>
              <w:jc w:val="right"/>
            </w:pPr>
            <w:r>
              <w:t>353,387,587.76</w:t>
            </w:r>
          </w:p>
        </w:tc>
        <w:tc>
          <w:tcPr>
            <w:tcW w:w="1397" w:type="pct"/>
            <w:tcBorders>
              <w:top w:val="outset" w:color="auto" w:sz="6" w:space="0"/>
              <w:left w:val="outset" w:color="auto" w:sz="6" w:space="0"/>
              <w:bottom w:val="outset" w:color="auto" w:sz="6" w:space="0"/>
              <w:right w:val="outset" w:color="auto" w:sz="6" w:space="0"/>
            </w:tcBorders>
            <w:vAlign w:val="center"/>
          </w:tcPr>
          <w:p w14:paraId="12D7032F">
            <w:pPr>
              <w:jc w:val="right"/>
            </w:pPr>
            <w:r>
              <w:t>144,703,485.91</w:t>
            </w:r>
          </w:p>
        </w:tc>
      </w:tr>
      <w:tr w14:paraId="625CE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58423998">
            <w:pPr>
              <w:ind w:firstLine="210" w:firstLineChars="100"/>
            </w:pPr>
            <w:r>
              <w:rPr>
                <w:rFonts w:hint="eastAsia"/>
              </w:rPr>
              <w:t>支付其他与经营活动有关的现金</w:t>
            </w:r>
          </w:p>
        </w:tc>
        <w:tc>
          <w:tcPr>
            <w:tcW w:w="1405" w:type="pct"/>
            <w:tcBorders>
              <w:top w:val="outset" w:color="auto" w:sz="6" w:space="0"/>
              <w:left w:val="outset" w:color="auto" w:sz="6" w:space="0"/>
              <w:bottom w:val="outset" w:color="auto" w:sz="6" w:space="0"/>
              <w:right w:val="outset" w:color="auto" w:sz="6" w:space="0"/>
            </w:tcBorders>
            <w:vAlign w:val="center"/>
          </w:tcPr>
          <w:p w14:paraId="143AC6B8">
            <w:pPr>
              <w:jc w:val="right"/>
            </w:pPr>
            <w:r>
              <w:t>639,701,444.31</w:t>
            </w:r>
          </w:p>
        </w:tc>
        <w:tc>
          <w:tcPr>
            <w:tcW w:w="1397" w:type="pct"/>
            <w:tcBorders>
              <w:top w:val="outset" w:color="auto" w:sz="6" w:space="0"/>
              <w:left w:val="outset" w:color="auto" w:sz="6" w:space="0"/>
              <w:bottom w:val="outset" w:color="auto" w:sz="6" w:space="0"/>
              <w:right w:val="outset" w:color="auto" w:sz="6" w:space="0"/>
            </w:tcBorders>
            <w:vAlign w:val="center"/>
          </w:tcPr>
          <w:p w14:paraId="2E00C83F">
            <w:pPr>
              <w:jc w:val="right"/>
            </w:pPr>
            <w:r>
              <w:t>634,648,635.99</w:t>
            </w:r>
          </w:p>
        </w:tc>
      </w:tr>
      <w:tr w14:paraId="350C6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55B86670">
            <w:pPr>
              <w:ind w:firstLine="420" w:firstLineChars="200"/>
            </w:pPr>
            <w:r>
              <w:rPr>
                <w:rFonts w:hint="eastAsia"/>
              </w:rPr>
              <w:t>经营活动现金流出小计</w:t>
            </w:r>
          </w:p>
        </w:tc>
        <w:tc>
          <w:tcPr>
            <w:tcW w:w="1405" w:type="pct"/>
            <w:tcBorders>
              <w:top w:val="outset" w:color="auto" w:sz="6" w:space="0"/>
              <w:left w:val="outset" w:color="auto" w:sz="6" w:space="0"/>
              <w:bottom w:val="outset" w:color="auto" w:sz="6" w:space="0"/>
              <w:right w:val="outset" w:color="auto" w:sz="6" w:space="0"/>
            </w:tcBorders>
            <w:vAlign w:val="center"/>
          </w:tcPr>
          <w:p w14:paraId="356A87DD">
            <w:pPr>
              <w:jc w:val="right"/>
            </w:pPr>
            <w:r>
              <w:t>1,880,557,836.90</w:t>
            </w:r>
          </w:p>
        </w:tc>
        <w:tc>
          <w:tcPr>
            <w:tcW w:w="1397" w:type="pct"/>
            <w:tcBorders>
              <w:top w:val="outset" w:color="auto" w:sz="6" w:space="0"/>
              <w:left w:val="outset" w:color="auto" w:sz="6" w:space="0"/>
              <w:bottom w:val="outset" w:color="auto" w:sz="6" w:space="0"/>
              <w:right w:val="outset" w:color="auto" w:sz="6" w:space="0"/>
            </w:tcBorders>
            <w:vAlign w:val="center"/>
          </w:tcPr>
          <w:p w14:paraId="39C5AD34">
            <w:pPr>
              <w:jc w:val="right"/>
            </w:pPr>
            <w:r>
              <w:t>1,428,624,135.27</w:t>
            </w:r>
          </w:p>
        </w:tc>
      </w:tr>
      <w:tr w14:paraId="093ED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122738E7">
            <w:pPr>
              <w:ind w:firstLine="630" w:firstLineChars="300"/>
            </w:pPr>
            <w:r>
              <w:rPr>
                <w:rFonts w:hint="eastAsia"/>
              </w:rPr>
              <w:t>经营活动产生的现金流量净额</w:t>
            </w:r>
          </w:p>
        </w:tc>
        <w:tc>
          <w:tcPr>
            <w:tcW w:w="1405" w:type="pct"/>
            <w:tcBorders>
              <w:top w:val="outset" w:color="auto" w:sz="6" w:space="0"/>
              <w:left w:val="outset" w:color="auto" w:sz="6" w:space="0"/>
              <w:bottom w:val="outset" w:color="auto" w:sz="6" w:space="0"/>
              <w:right w:val="outset" w:color="auto" w:sz="6" w:space="0"/>
            </w:tcBorders>
            <w:vAlign w:val="center"/>
          </w:tcPr>
          <w:p w14:paraId="00C57667">
            <w:pPr>
              <w:jc w:val="right"/>
            </w:pPr>
            <w:r>
              <w:t>380,247,605.21</w:t>
            </w:r>
          </w:p>
        </w:tc>
        <w:tc>
          <w:tcPr>
            <w:tcW w:w="1397" w:type="pct"/>
            <w:tcBorders>
              <w:top w:val="outset" w:color="auto" w:sz="6" w:space="0"/>
              <w:left w:val="outset" w:color="auto" w:sz="6" w:space="0"/>
              <w:bottom w:val="outset" w:color="auto" w:sz="6" w:space="0"/>
              <w:right w:val="outset" w:color="auto" w:sz="6" w:space="0"/>
            </w:tcBorders>
            <w:vAlign w:val="center"/>
          </w:tcPr>
          <w:p w14:paraId="34F00E13">
            <w:pPr>
              <w:jc w:val="right"/>
            </w:pPr>
            <w:r>
              <w:t>225,162,475.15</w:t>
            </w:r>
          </w:p>
        </w:tc>
      </w:tr>
      <w:tr w14:paraId="7CE85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844d1ab19cec4e6fa06a3de843375d4a"/>
            <w:id w:val="-468213598"/>
          </w:sdtPr>
          <w:sdtContent>
            <w:tc>
              <w:tcPr>
                <w:tcW w:w="5000" w:type="pct"/>
                <w:gridSpan w:val="3"/>
                <w:tcBorders>
                  <w:top w:val="outset" w:color="auto" w:sz="6" w:space="0"/>
                  <w:left w:val="outset" w:color="auto" w:sz="6" w:space="0"/>
                  <w:bottom w:val="outset" w:color="auto" w:sz="6" w:space="0"/>
                  <w:right w:val="outset" w:color="auto" w:sz="6" w:space="0"/>
                </w:tcBorders>
              </w:tcPr>
              <w:p w14:paraId="05562A20">
                <w:pPr>
                  <w:rPr>
                    <w:color w:val="008000"/>
                  </w:rPr>
                </w:pPr>
                <w:r>
                  <w:rPr>
                    <w:rFonts w:hint="eastAsia"/>
                    <w:b/>
                    <w:bCs/>
                  </w:rPr>
                  <w:t>二、投资活动产生的现金流量：</w:t>
                </w:r>
              </w:p>
            </w:tc>
          </w:sdtContent>
        </w:sdt>
      </w:tr>
      <w:tr w14:paraId="701EE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5A9A1543">
            <w:pPr>
              <w:ind w:firstLine="210" w:firstLineChars="100"/>
            </w:pPr>
            <w:r>
              <w:rPr>
                <w:rFonts w:hint="eastAsia"/>
              </w:rPr>
              <w:t>收回投资收到的现金</w:t>
            </w:r>
          </w:p>
        </w:tc>
        <w:tc>
          <w:tcPr>
            <w:tcW w:w="1405" w:type="pct"/>
            <w:tcBorders>
              <w:top w:val="outset" w:color="auto" w:sz="6" w:space="0"/>
              <w:left w:val="outset" w:color="auto" w:sz="6" w:space="0"/>
              <w:bottom w:val="outset" w:color="auto" w:sz="6" w:space="0"/>
              <w:right w:val="outset" w:color="auto" w:sz="6" w:space="0"/>
            </w:tcBorders>
            <w:vAlign w:val="center"/>
          </w:tcPr>
          <w:p w14:paraId="5C39B515">
            <w:pPr>
              <w:jc w:val="right"/>
            </w:pPr>
            <w:r>
              <w:t>1,384,226,783.45</w:t>
            </w:r>
          </w:p>
        </w:tc>
        <w:tc>
          <w:tcPr>
            <w:tcW w:w="1397" w:type="pct"/>
            <w:tcBorders>
              <w:top w:val="outset" w:color="auto" w:sz="6" w:space="0"/>
              <w:left w:val="outset" w:color="auto" w:sz="6" w:space="0"/>
              <w:bottom w:val="outset" w:color="auto" w:sz="6" w:space="0"/>
              <w:right w:val="outset" w:color="auto" w:sz="6" w:space="0"/>
            </w:tcBorders>
            <w:vAlign w:val="center"/>
          </w:tcPr>
          <w:p w14:paraId="604395ED">
            <w:pPr>
              <w:jc w:val="right"/>
            </w:pPr>
            <w:r>
              <w:t>110,000,000.00</w:t>
            </w:r>
          </w:p>
        </w:tc>
      </w:tr>
      <w:tr w14:paraId="777A9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77679D66">
            <w:pPr>
              <w:ind w:firstLine="210" w:firstLineChars="100"/>
            </w:pPr>
            <w:r>
              <w:rPr>
                <w:rFonts w:hint="eastAsia"/>
              </w:rPr>
              <w:t>取得投资收益收到的现金</w:t>
            </w:r>
          </w:p>
        </w:tc>
        <w:tc>
          <w:tcPr>
            <w:tcW w:w="1405" w:type="pct"/>
            <w:tcBorders>
              <w:top w:val="outset" w:color="auto" w:sz="6" w:space="0"/>
              <w:left w:val="outset" w:color="auto" w:sz="6" w:space="0"/>
              <w:bottom w:val="outset" w:color="auto" w:sz="6" w:space="0"/>
              <w:right w:val="outset" w:color="auto" w:sz="6" w:space="0"/>
            </w:tcBorders>
            <w:vAlign w:val="center"/>
          </w:tcPr>
          <w:p w14:paraId="50FF2076">
            <w:pPr>
              <w:jc w:val="right"/>
            </w:pPr>
            <w:r>
              <w:t>40,879,561.25</w:t>
            </w:r>
          </w:p>
        </w:tc>
        <w:tc>
          <w:tcPr>
            <w:tcW w:w="1397" w:type="pct"/>
            <w:tcBorders>
              <w:top w:val="outset" w:color="auto" w:sz="6" w:space="0"/>
              <w:left w:val="outset" w:color="auto" w:sz="6" w:space="0"/>
              <w:bottom w:val="outset" w:color="auto" w:sz="6" w:space="0"/>
              <w:right w:val="outset" w:color="auto" w:sz="6" w:space="0"/>
            </w:tcBorders>
            <w:vAlign w:val="center"/>
          </w:tcPr>
          <w:p w14:paraId="0608C1A0">
            <w:pPr>
              <w:jc w:val="right"/>
            </w:pPr>
            <w:r>
              <w:t>33,188,699.37</w:t>
            </w:r>
          </w:p>
        </w:tc>
      </w:tr>
      <w:tr w14:paraId="435CF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45ECBD0D">
            <w:pPr>
              <w:ind w:firstLine="210" w:firstLineChars="100"/>
            </w:pPr>
            <w:r>
              <w:rPr>
                <w:rFonts w:hint="eastAsia"/>
              </w:rPr>
              <w:t>处置固定资产、无形资产和其他长期资产收回的现金净额</w:t>
            </w:r>
          </w:p>
        </w:tc>
        <w:tc>
          <w:tcPr>
            <w:tcW w:w="1405" w:type="pct"/>
            <w:tcBorders>
              <w:top w:val="outset" w:color="auto" w:sz="6" w:space="0"/>
              <w:left w:val="outset" w:color="auto" w:sz="6" w:space="0"/>
              <w:bottom w:val="outset" w:color="auto" w:sz="6" w:space="0"/>
              <w:right w:val="outset" w:color="auto" w:sz="6" w:space="0"/>
            </w:tcBorders>
            <w:vAlign w:val="center"/>
          </w:tcPr>
          <w:p w14:paraId="3D479E35">
            <w:pPr>
              <w:jc w:val="right"/>
            </w:pPr>
            <w:r>
              <w:t>599,980.00</w:t>
            </w:r>
          </w:p>
        </w:tc>
        <w:tc>
          <w:tcPr>
            <w:tcW w:w="1397" w:type="pct"/>
            <w:tcBorders>
              <w:top w:val="outset" w:color="auto" w:sz="6" w:space="0"/>
              <w:left w:val="outset" w:color="auto" w:sz="6" w:space="0"/>
              <w:bottom w:val="outset" w:color="auto" w:sz="6" w:space="0"/>
              <w:right w:val="outset" w:color="auto" w:sz="6" w:space="0"/>
            </w:tcBorders>
            <w:vAlign w:val="center"/>
          </w:tcPr>
          <w:p w14:paraId="1D9C4F3D">
            <w:pPr>
              <w:jc w:val="right"/>
            </w:pPr>
            <w:r>
              <w:t>66,590,000.00</w:t>
            </w:r>
          </w:p>
        </w:tc>
      </w:tr>
      <w:tr w14:paraId="4CD6A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6C82ADF5">
            <w:pPr>
              <w:ind w:firstLine="210" w:firstLineChars="100"/>
            </w:pPr>
            <w:r>
              <w:rPr>
                <w:rFonts w:hint="eastAsia"/>
              </w:rPr>
              <w:t>处置子公司及其他营业单位收到的现金净额</w:t>
            </w:r>
          </w:p>
        </w:tc>
        <w:tc>
          <w:tcPr>
            <w:tcW w:w="1405" w:type="pct"/>
            <w:tcBorders>
              <w:top w:val="outset" w:color="auto" w:sz="6" w:space="0"/>
              <w:left w:val="outset" w:color="auto" w:sz="6" w:space="0"/>
              <w:bottom w:val="outset" w:color="auto" w:sz="6" w:space="0"/>
              <w:right w:val="outset" w:color="auto" w:sz="6" w:space="0"/>
            </w:tcBorders>
          </w:tcPr>
          <w:p w14:paraId="13B04E3A">
            <w:pPr>
              <w:jc w:val="right"/>
            </w:pPr>
          </w:p>
        </w:tc>
        <w:tc>
          <w:tcPr>
            <w:tcW w:w="1397" w:type="pct"/>
            <w:tcBorders>
              <w:top w:val="outset" w:color="auto" w:sz="6" w:space="0"/>
              <w:left w:val="outset" w:color="auto" w:sz="6" w:space="0"/>
              <w:bottom w:val="outset" w:color="auto" w:sz="6" w:space="0"/>
              <w:right w:val="outset" w:color="auto" w:sz="6" w:space="0"/>
            </w:tcBorders>
          </w:tcPr>
          <w:p w14:paraId="7FB29F7C">
            <w:pPr>
              <w:jc w:val="right"/>
            </w:pPr>
          </w:p>
        </w:tc>
      </w:tr>
      <w:tr w14:paraId="38DFC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7E640D3D">
            <w:pPr>
              <w:ind w:firstLine="210" w:firstLineChars="100"/>
            </w:pPr>
            <w:r>
              <w:rPr>
                <w:rFonts w:hint="eastAsia"/>
              </w:rPr>
              <w:t>收到其他与投资活动有关的现金</w:t>
            </w:r>
          </w:p>
        </w:tc>
        <w:tc>
          <w:tcPr>
            <w:tcW w:w="1405" w:type="pct"/>
            <w:tcBorders>
              <w:top w:val="outset" w:color="auto" w:sz="6" w:space="0"/>
              <w:left w:val="outset" w:color="auto" w:sz="6" w:space="0"/>
              <w:bottom w:val="outset" w:color="auto" w:sz="6" w:space="0"/>
              <w:right w:val="outset" w:color="auto" w:sz="6" w:space="0"/>
            </w:tcBorders>
          </w:tcPr>
          <w:p w14:paraId="2629BABF">
            <w:pPr>
              <w:jc w:val="right"/>
            </w:pPr>
          </w:p>
        </w:tc>
        <w:tc>
          <w:tcPr>
            <w:tcW w:w="1397" w:type="pct"/>
            <w:tcBorders>
              <w:top w:val="outset" w:color="auto" w:sz="6" w:space="0"/>
              <w:left w:val="outset" w:color="auto" w:sz="6" w:space="0"/>
              <w:bottom w:val="outset" w:color="auto" w:sz="6" w:space="0"/>
              <w:right w:val="outset" w:color="auto" w:sz="6" w:space="0"/>
            </w:tcBorders>
          </w:tcPr>
          <w:p w14:paraId="63E8DD27">
            <w:pPr>
              <w:jc w:val="right"/>
            </w:pPr>
          </w:p>
        </w:tc>
      </w:tr>
      <w:tr w14:paraId="16410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7DEB141C">
            <w:pPr>
              <w:ind w:firstLine="420" w:firstLineChars="200"/>
            </w:pPr>
            <w:r>
              <w:rPr>
                <w:rFonts w:hint="eastAsia"/>
              </w:rPr>
              <w:t>投资活动现金流入小计</w:t>
            </w:r>
          </w:p>
        </w:tc>
        <w:tc>
          <w:tcPr>
            <w:tcW w:w="1405" w:type="pct"/>
            <w:tcBorders>
              <w:top w:val="outset" w:color="auto" w:sz="6" w:space="0"/>
              <w:left w:val="outset" w:color="auto" w:sz="6" w:space="0"/>
              <w:bottom w:val="outset" w:color="auto" w:sz="6" w:space="0"/>
              <w:right w:val="outset" w:color="auto" w:sz="6" w:space="0"/>
            </w:tcBorders>
            <w:vAlign w:val="center"/>
          </w:tcPr>
          <w:p w14:paraId="40B00B4F">
            <w:pPr>
              <w:jc w:val="right"/>
            </w:pPr>
            <w:r>
              <w:t>1,425,706,324.70</w:t>
            </w:r>
          </w:p>
        </w:tc>
        <w:tc>
          <w:tcPr>
            <w:tcW w:w="1397" w:type="pct"/>
            <w:tcBorders>
              <w:top w:val="outset" w:color="auto" w:sz="6" w:space="0"/>
              <w:left w:val="outset" w:color="auto" w:sz="6" w:space="0"/>
              <w:bottom w:val="outset" w:color="auto" w:sz="6" w:space="0"/>
              <w:right w:val="outset" w:color="auto" w:sz="6" w:space="0"/>
            </w:tcBorders>
            <w:vAlign w:val="center"/>
          </w:tcPr>
          <w:p w14:paraId="68811F48">
            <w:pPr>
              <w:jc w:val="right"/>
            </w:pPr>
            <w:r>
              <w:t>209,778,699.37</w:t>
            </w:r>
          </w:p>
        </w:tc>
      </w:tr>
      <w:tr w14:paraId="7467B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7FE2C067">
            <w:pPr>
              <w:ind w:firstLine="210" w:firstLineChars="100"/>
            </w:pPr>
            <w:r>
              <w:rPr>
                <w:rFonts w:hint="eastAsia"/>
              </w:rPr>
              <w:t>购建固定资产、无形资产和其他长期资产支付的现金</w:t>
            </w:r>
          </w:p>
        </w:tc>
        <w:tc>
          <w:tcPr>
            <w:tcW w:w="1405" w:type="pct"/>
            <w:tcBorders>
              <w:top w:val="outset" w:color="auto" w:sz="6" w:space="0"/>
              <w:left w:val="outset" w:color="auto" w:sz="6" w:space="0"/>
              <w:bottom w:val="outset" w:color="auto" w:sz="6" w:space="0"/>
              <w:right w:val="outset" w:color="auto" w:sz="6" w:space="0"/>
            </w:tcBorders>
            <w:vAlign w:val="center"/>
          </w:tcPr>
          <w:p w14:paraId="67758832">
            <w:pPr>
              <w:jc w:val="right"/>
            </w:pPr>
            <w:r>
              <w:t>302,050,151.46</w:t>
            </w:r>
          </w:p>
        </w:tc>
        <w:tc>
          <w:tcPr>
            <w:tcW w:w="1397" w:type="pct"/>
            <w:tcBorders>
              <w:top w:val="outset" w:color="auto" w:sz="6" w:space="0"/>
              <w:left w:val="outset" w:color="auto" w:sz="6" w:space="0"/>
              <w:bottom w:val="outset" w:color="auto" w:sz="6" w:space="0"/>
              <w:right w:val="outset" w:color="auto" w:sz="6" w:space="0"/>
            </w:tcBorders>
            <w:vAlign w:val="center"/>
          </w:tcPr>
          <w:p w14:paraId="7D18E69D">
            <w:pPr>
              <w:jc w:val="right"/>
            </w:pPr>
            <w:r>
              <w:t>469,838,631.59</w:t>
            </w:r>
          </w:p>
        </w:tc>
      </w:tr>
      <w:tr w14:paraId="672D7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6F51407E">
            <w:pPr>
              <w:ind w:firstLine="210" w:firstLineChars="100"/>
            </w:pPr>
            <w:r>
              <w:rPr>
                <w:rFonts w:hint="eastAsia"/>
              </w:rPr>
              <w:t>投资支付的现金</w:t>
            </w:r>
          </w:p>
        </w:tc>
        <w:tc>
          <w:tcPr>
            <w:tcW w:w="1405" w:type="pct"/>
            <w:tcBorders>
              <w:top w:val="outset" w:color="auto" w:sz="6" w:space="0"/>
              <w:left w:val="outset" w:color="auto" w:sz="6" w:space="0"/>
              <w:bottom w:val="outset" w:color="auto" w:sz="6" w:space="0"/>
              <w:right w:val="outset" w:color="auto" w:sz="6" w:space="0"/>
            </w:tcBorders>
            <w:vAlign w:val="center"/>
          </w:tcPr>
          <w:p w14:paraId="6A7ADDFB">
            <w:pPr>
              <w:jc w:val="right"/>
            </w:pPr>
            <w:r>
              <w:t>221,530,171.45</w:t>
            </w:r>
          </w:p>
        </w:tc>
        <w:tc>
          <w:tcPr>
            <w:tcW w:w="1397" w:type="pct"/>
            <w:tcBorders>
              <w:top w:val="outset" w:color="auto" w:sz="6" w:space="0"/>
              <w:left w:val="outset" w:color="auto" w:sz="6" w:space="0"/>
              <w:bottom w:val="outset" w:color="auto" w:sz="6" w:space="0"/>
              <w:right w:val="outset" w:color="auto" w:sz="6" w:space="0"/>
            </w:tcBorders>
            <w:vAlign w:val="center"/>
          </w:tcPr>
          <w:p w14:paraId="4505C614">
            <w:pPr>
              <w:jc w:val="right"/>
            </w:pPr>
            <w:r>
              <w:t>195,000,000.00</w:t>
            </w:r>
          </w:p>
        </w:tc>
      </w:tr>
      <w:tr w14:paraId="66DB5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463FCDD4">
            <w:pPr>
              <w:ind w:firstLine="210" w:firstLineChars="100"/>
            </w:pPr>
            <w:r>
              <w:rPr>
                <w:rFonts w:hint="eastAsia"/>
              </w:rPr>
              <w:t>质押贷款净增加额</w:t>
            </w:r>
          </w:p>
        </w:tc>
        <w:tc>
          <w:tcPr>
            <w:tcW w:w="1405" w:type="pct"/>
            <w:tcBorders>
              <w:top w:val="outset" w:color="auto" w:sz="6" w:space="0"/>
              <w:left w:val="outset" w:color="auto" w:sz="6" w:space="0"/>
              <w:bottom w:val="outset" w:color="auto" w:sz="6" w:space="0"/>
              <w:right w:val="outset" w:color="auto" w:sz="6" w:space="0"/>
            </w:tcBorders>
          </w:tcPr>
          <w:p w14:paraId="35338158">
            <w:pPr>
              <w:jc w:val="right"/>
            </w:pPr>
          </w:p>
        </w:tc>
        <w:tc>
          <w:tcPr>
            <w:tcW w:w="1397" w:type="pct"/>
            <w:tcBorders>
              <w:top w:val="outset" w:color="auto" w:sz="6" w:space="0"/>
              <w:left w:val="outset" w:color="auto" w:sz="6" w:space="0"/>
              <w:bottom w:val="outset" w:color="auto" w:sz="6" w:space="0"/>
              <w:right w:val="outset" w:color="auto" w:sz="6" w:space="0"/>
            </w:tcBorders>
          </w:tcPr>
          <w:p w14:paraId="6F45BFB1">
            <w:pPr>
              <w:jc w:val="right"/>
            </w:pPr>
          </w:p>
        </w:tc>
      </w:tr>
      <w:tr w14:paraId="02B74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A09840A">
            <w:pPr>
              <w:ind w:firstLine="210" w:firstLineChars="100"/>
            </w:pPr>
            <w:r>
              <w:rPr>
                <w:rFonts w:hint="eastAsia"/>
              </w:rPr>
              <w:t>取得子公司及其他营业单位支付的现金净额</w:t>
            </w:r>
          </w:p>
        </w:tc>
        <w:tc>
          <w:tcPr>
            <w:tcW w:w="1405" w:type="pct"/>
            <w:tcBorders>
              <w:top w:val="outset" w:color="auto" w:sz="6" w:space="0"/>
              <w:left w:val="outset" w:color="auto" w:sz="6" w:space="0"/>
              <w:bottom w:val="outset" w:color="auto" w:sz="6" w:space="0"/>
              <w:right w:val="outset" w:color="auto" w:sz="6" w:space="0"/>
            </w:tcBorders>
            <w:vAlign w:val="center"/>
          </w:tcPr>
          <w:p w14:paraId="63A231E5">
            <w:pPr>
              <w:jc w:val="right"/>
            </w:pPr>
            <w:r>
              <w:t>-3,600,091.90</w:t>
            </w:r>
          </w:p>
        </w:tc>
        <w:tc>
          <w:tcPr>
            <w:tcW w:w="1397" w:type="pct"/>
            <w:tcBorders>
              <w:top w:val="outset" w:color="auto" w:sz="6" w:space="0"/>
              <w:left w:val="outset" w:color="auto" w:sz="6" w:space="0"/>
              <w:bottom w:val="outset" w:color="auto" w:sz="6" w:space="0"/>
              <w:right w:val="outset" w:color="auto" w:sz="6" w:space="0"/>
            </w:tcBorders>
            <w:vAlign w:val="center"/>
          </w:tcPr>
          <w:p w14:paraId="32EDBE65">
            <w:pPr>
              <w:jc w:val="right"/>
            </w:pPr>
          </w:p>
        </w:tc>
      </w:tr>
      <w:tr w14:paraId="624C0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7DEF2FC0">
            <w:pPr>
              <w:ind w:firstLine="210" w:firstLineChars="100"/>
            </w:pPr>
            <w:r>
              <w:rPr>
                <w:rFonts w:hint="eastAsia"/>
              </w:rPr>
              <w:t>支付其他与投资活动有关的现金</w:t>
            </w:r>
          </w:p>
        </w:tc>
        <w:tc>
          <w:tcPr>
            <w:tcW w:w="1405" w:type="pct"/>
            <w:tcBorders>
              <w:top w:val="outset" w:color="auto" w:sz="6" w:space="0"/>
              <w:left w:val="outset" w:color="auto" w:sz="6" w:space="0"/>
              <w:bottom w:val="outset" w:color="auto" w:sz="6" w:space="0"/>
              <w:right w:val="outset" w:color="auto" w:sz="6" w:space="0"/>
            </w:tcBorders>
            <w:vAlign w:val="center"/>
          </w:tcPr>
          <w:p w14:paraId="68FE6904">
            <w:pPr>
              <w:jc w:val="right"/>
            </w:pPr>
            <w:r>
              <w:t>789,346.00</w:t>
            </w:r>
          </w:p>
        </w:tc>
        <w:tc>
          <w:tcPr>
            <w:tcW w:w="1397" w:type="pct"/>
            <w:tcBorders>
              <w:top w:val="outset" w:color="auto" w:sz="6" w:space="0"/>
              <w:left w:val="outset" w:color="auto" w:sz="6" w:space="0"/>
              <w:bottom w:val="outset" w:color="auto" w:sz="6" w:space="0"/>
              <w:right w:val="outset" w:color="auto" w:sz="6" w:space="0"/>
            </w:tcBorders>
            <w:vAlign w:val="center"/>
          </w:tcPr>
          <w:p w14:paraId="1598E39E">
            <w:pPr>
              <w:jc w:val="right"/>
            </w:pPr>
          </w:p>
        </w:tc>
      </w:tr>
      <w:tr w14:paraId="0B06E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2BE7AE8F">
            <w:pPr>
              <w:ind w:firstLine="420" w:firstLineChars="200"/>
            </w:pPr>
            <w:r>
              <w:rPr>
                <w:rFonts w:hint="eastAsia"/>
              </w:rPr>
              <w:t>投资活动现金流出小计</w:t>
            </w:r>
          </w:p>
        </w:tc>
        <w:tc>
          <w:tcPr>
            <w:tcW w:w="1405" w:type="pct"/>
            <w:tcBorders>
              <w:top w:val="outset" w:color="auto" w:sz="6" w:space="0"/>
              <w:left w:val="outset" w:color="auto" w:sz="6" w:space="0"/>
              <w:bottom w:val="outset" w:color="auto" w:sz="6" w:space="0"/>
              <w:right w:val="outset" w:color="auto" w:sz="6" w:space="0"/>
            </w:tcBorders>
            <w:vAlign w:val="center"/>
          </w:tcPr>
          <w:p w14:paraId="6D744B57">
            <w:pPr>
              <w:jc w:val="right"/>
            </w:pPr>
            <w:r>
              <w:t>520,769,577.01</w:t>
            </w:r>
          </w:p>
        </w:tc>
        <w:tc>
          <w:tcPr>
            <w:tcW w:w="1397" w:type="pct"/>
            <w:tcBorders>
              <w:top w:val="outset" w:color="auto" w:sz="6" w:space="0"/>
              <w:left w:val="outset" w:color="auto" w:sz="6" w:space="0"/>
              <w:bottom w:val="outset" w:color="auto" w:sz="6" w:space="0"/>
              <w:right w:val="outset" w:color="auto" w:sz="6" w:space="0"/>
            </w:tcBorders>
            <w:vAlign w:val="center"/>
          </w:tcPr>
          <w:p w14:paraId="2CBB78F9">
            <w:pPr>
              <w:jc w:val="right"/>
            </w:pPr>
            <w:r>
              <w:t>664,838,631.59</w:t>
            </w:r>
          </w:p>
        </w:tc>
      </w:tr>
      <w:tr w14:paraId="7B302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42179825">
            <w:pPr>
              <w:ind w:firstLine="630" w:firstLineChars="300"/>
            </w:pPr>
            <w:r>
              <w:rPr>
                <w:rFonts w:hint="eastAsia"/>
              </w:rPr>
              <w:t>投资活动产生的现金流量净额</w:t>
            </w:r>
          </w:p>
        </w:tc>
        <w:tc>
          <w:tcPr>
            <w:tcW w:w="1405" w:type="pct"/>
            <w:tcBorders>
              <w:top w:val="outset" w:color="auto" w:sz="6" w:space="0"/>
              <w:left w:val="outset" w:color="auto" w:sz="6" w:space="0"/>
              <w:bottom w:val="outset" w:color="auto" w:sz="6" w:space="0"/>
              <w:right w:val="outset" w:color="auto" w:sz="6" w:space="0"/>
            </w:tcBorders>
            <w:vAlign w:val="center"/>
          </w:tcPr>
          <w:p w14:paraId="39D3885F">
            <w:pPr>
              <w:jc w:val="right"/>
            </w:pPr>
            <w:r>
              <w:t>904,936,747.69</w:t>
            </w:r>
          </w:p>
        </w:tc>
        <w:tc>
          <w:tcPr>
            <w:tcW w:w="1397" w:type="pct"/>
            <w:tcBorders>
              <w:top w:val="outset" w:color="auto" w:sz="6" w:space="0"/>
              <w:left w:val="outset" w:color="auto" w:sz="6" w:space="0"/>
              <w:bottom w:val="outset" w:color="auto" w:sz="6" w:space="0"/>
              <w:right w:val="outset" w:color="auto" w:sz="6" w:space="0"/>
            </w:tcBorders>
            <w:vAlign w:val="center"/>
          </w:tcPr>
          <w:p w14:paraId="7A4D9A72">
            <w:pPr>
              <w:jc w:val="right"/>
            </w:pPr>
            <w:r>
              <w:t>-455,059,932.22</w:t>
            </w:r>
          </w:p>
        </w:tc>
      </w:tr>
      <w:tr w14:paraId="23C69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defd9749ec084a83bdf87542890c48ed"/>
            <w:id w:val="-1190143179"/>
          </w:sdtPr>
          <w:sdtContent>
            <w:tc>
              <w:tcPr>
                <w:tcW w:w="5000" w:type="pct"/>
                <w:gridSpan w:val="3"/>
                <w:tcBorders>
                  <w:top w:val="outset" w:color="auto" w:sz="6" w:space="0"/>
                  <w:left w:val="outset" w:color="auto" w:sz="6" w:space="0"/>
                  <w:bottom w:val="outset" w:color="auto" w:sz="6" w:space="0"/>
                  <w:right w:val="outset" w:color="auto" w:sz="6" w:space="0"/>
                </w:tcBorders>
              </w:tcPr>
              <w:p w14:paraId="073F74CC">
                <w:pPr>
                  <w:jc w:val="both"/>
                  <w:rPr>
                    <w:color w:val="008000"/>
                  </w:rPr>
                </w:pPr>
                <w:r>
                  <w:rPr>
                    <w:rFonts w:hint="eastAsia"/>
                    <w:b/>
                    <w:bCs/>
                  </w:rPr>
                  <w:t>三、筹资活动产生的现金流量：</w:t>
                </w:r>
              </w:p>
            </w:tc>
          </w:sdtContent>
        </w:sdt>
      </w:tr>
      <w:tr w14:paraId="2BD55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59FB1471">
            <w:pPr>
              <w:ind w:firstLine="210" w:firstLineChars="100"/>
            </w:pPr>
            <w:r>
              <w:rPr>
                <w:rFonts w:hint="eastAsia"/>
              </w:rPr>
              <w:t>吸收投资收到的现金</w:t>
            </w:r>
          </w:p>
        </w:tc>
        <w:tc>
          <w:tcPr>
            <w:tcW w:w="1405" w:type="pct"/>
            <w:tcBorders>
              <w:top w:val="outset" w:color="auto" w:sz="6" w:space="0"/>
              <w:left w:val="outset" w:color="auto" w:sz="6" w:space="0"/>
              <w:bottom w:val="outset" w:color="auto" w:sz="6" w:space="0"/>
              <w:right w:val="outset" w:color="auto" w:sz="6" w:space="0"/>
            </w:tcBorders>
          </w:tcPr>
          <w:p w14:paraId="07B9DF9F">
            <w:pPr>
              <w:jc w:val="right"/>
            </w:pPr>
            <w:r>
              <w:t>8,727,100.00</w:t>
            </w:r>
          </w:p>
        </w:tc>
        <w:tc>
          <w:tcPr>
            <w:tcW w:w="1397" w:type="pct"/>
            <w:tcBorders>
              <w:top w:val="outset" w:color="auto" w:sz="6" w:space="0"/>
              <w:left w:val="outset" w:color="auto" w:sz="6" w:space="0"/>
              <w:bottom w:val="outset" w:color="auto" w:sz="6" w:space="0"/>
              <w:right w:val="outset" w:color="auto" w:sz="6" w:space="0"/>
            </w:tcBorders>
          </w:tcPr>
          <w:p w14:paraId="46AF1B98">
            <w:pPr>
              <w:jc w:val="right"/>
            </w:pPr>
          </w:p>
        </w:tc>
      </w:tr>
      <w:tr w14:paraId="238A5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333F5F36">
            <w:pPr>
              <w:ind w:firstLine="210" w:firstLineChars="100"/>
            </w:pPr>
            <w:r>
              <w:rPr>
                <w:rFonts w:hint="eastAsia"/>
              </w:rPr>
              <w:t>其中：子公司吸收少数股东投资收到的现金</w:t>
            </w:r>
          </w:p>
        </w:tc>
        <w:tc>
          <w:tcPr>
            <w:tcW w:w="1405" w:type="pct"/>
            <w:tcBorders>
              <w:top w:val="outset" w:color="auto" w:sz="6" w:space="0"/>
              <w:left w:val="outset" w:color="auto" w:sz="6" w:space="0"/>
              <w:bottom w:val="outset" w:color="auto" w:sz="6" w:space="0"/>
              <w:right w:val="outset" w:color="auto" w:sz="6" w:space="0"/>
            </w:tcBorders>
          </w:tcPr>
          <w:p w14:paraId="1664B74C">
            <w:pPr>
              <w:jc w:val="right"/>
            </w:pPr>
          </w:p>
        </w:tc>
        <w:tc>
          <w:tcPr>
            <w:tcW w:w="1397" w:type="pct"/>
            <w:tcBorders>
              <w:top w:val="outset" w:color="auto" w:sz="6" w:space="0"/>
              <w:left w:val="outset" w:color="auto" w:sz="6" w:space="0"/>
              <w:bottom w:val="outset" w:color="auto" w:sz="6" w:space="0"/>
              <w:right w:val="outset" w:color="auto" w:sz="6" w:space="0"/>
            </w:tcBorders>
          </w:tcPr>
          <w:p w14:paraId="5279F859">
            <w:pPr>
              <w:jc w:val="right"/>
            </w:pPr>
          </w:p>
        </w:tc>
      </w:tr>
      <w:tr w14:paraId="476C8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0A802D8">
            <w:pPr>
              <w:ind w:firstLine="210" w:firstLineChars="100"/>
            </w:pPr>
            <w:r>
              <w:rPr>
                <w:rFonts w:hint="eastAsia"/>
              </w:rPr>
              <w:t>取得借款收到的现金</w:t>
            </w:r>
          </w:p>
        </w:tc>
        <w:tc>
          <w:tcPr>
            <w:tcW w:w="1405" w:type="pct"/>
            <w:tcBorders>
              <w:top w:val="outset" w:color="auto" w:sz="6" w:space="0"/>
              <w:left w:val="outset" w:color="auto" w:sz="6" w:space="0"/>
              <w:bottom w:val="outset" w:color="auto" w:sz="6" w:space="0"/>
              <w:right w:val="outset" w:color="auto" w:sz="6" w:space="0"/>
            </w:tcBorders>
            <w:vAlign w:val="center"/>
          </w:tcPr>
          <w:p w14:paraId="74C68DF0">
            <w:pPr>
              <w:jc w:val="right"/>
            </w:pPr>
            <w:r>
              <w:t>463,000,000.00</w:t>
            </w:r>
          </w:p>
        </w:tc>
        <w:tc>
          <w:tcPr>
            <w:tcW w:w="1397" w:type="pct"/>
            <w:tcBorders>
              <w:top w:val="outset" w:color="auto" w:sz="6" w:space="0"/>
              <w:left w:val="outset" w:color="auto" w:sz="6" w:space="0"/>
              <w:bottom w:val="outset" w:color="auto" w:sz="6" w:space="0"/>
              <w:right w:val="outset" w:color="auto" w:sz="6" w:space="0"/>
            </w:tcBorders>
            <w:vAlign w:val="center"/>
          </w:tcPr>
          <w:p w14:paraId="3772670E">
            <w:pPr>
              <w:jc w:val="right"/>
            </w:pPr>
            <w:r>
              <w:t>572,747,463.22</w:t>
            </w:r>
          </w:p>
        </w:tc>
      </w:tr>
      <w:tr w14:paraId="23DCF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4A919DD8">
            <w:pPr>
              <w:ind w:firstLine="210" w:firstLineChars="100"/>
            </w:pPr>
            <w:r>
              <w:rPr>
                <w:rFonts w:hint="eastAsia"/>
              </w:rPr>
              <w:t>收到其他与筹资活动有关的现金</w:t>
            </w:r>
          </w:p>
        </w:tc>
        <w:tc>
          <w:tcPr>
            <w:tcW w:w="1405" w:type="pct"/>
            <w:tcBorders>
              <w:top w:val="outset" w:color="auto" w:sz="6" w:space="0"/>
              <w:left w:val="outset" w:color="auto" w:sz="6" w:space="0"/>
              <w:bottom w:val="outset" w:color="auto" w:sz="6" w:space="0"/>
              <w:right w:val="outset" w:color="auto" w:sz="6" w:space="0"/>
            </w:tcBorders>
            <w:vAlign w:val="center"/>
          </w:tcPr>
          <w:p w14:paraId="4871C318">
            <w:pPr>
              <w:jc w:val="right"/>
            </w:pPr>
            <w:r>
              <w:t>39,854,100.00</w:t>
            </w:r>
          </w:p>
        </w:tc>
        <w:tc>
          <w:tcPr>
            <w:tcW w:w="1397" w:type="pct"/>
            <w:tcBorders>
              <w:top w:val="outset" w:color="auto" w:sz="6" w:space="0"/>
              <w:left w:val="outset" w:color="auto" w:sz="6" w:space="0"/>
              <w:bottom w:val="outset" w:color="auto" w:sz="6" w:space="0"/>
              <w:right w:val="outset" w:color="auto" w:sz="6" w:space="0"/>
            </w:tcBorders>
            <w:vAlign w:val="center"/>
          </w:tcPr>
          <w:p w14:paraId="5903F568">
            <w:pPr>
              <w:jc w:val="right"/>
            </w:pPr>
            <w:r>
              <w:t>7,245,976.65</w:t>
            </w:r>
          </w:p>
        </w:tc>
      </w:tr>
      <w:tr w14:paraId="32144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6911FDE6">
            <w:pPr>
              <w:ind w:firstLine="420" w:firstLineChars="200"/>
            </w:pPr>
            <w:r>
              <w:rPr>
                <w:rFonts w:hint="eastAsia"/>
              </w:rPr>
              <w:t>筹资活动现金流入小计</w:t>
            </w:r>
          </w:p>
        </w:tc>
        <w:tc>
          <w:tcPr>
            <w:tcW w:w="1405" w:type="pct"/>
            <w:tcBorders>
              <w:top w:val="outset" w:color="auto" w:sz="6" w:space="0"/>
              <w:left w:val="outset" w:color="auto" w:sz="6" w:space="0"/>
              <w:bottom w:val="outset" w:color="auto" w:sz="6" w:space="0"/>
              <w:right w:val="outset" w:color="auto" w:sz="6" w:space="0"/>
            </w:tcBorders>
            <w:vAlign w:val="center"/>
          </w:tcPr>
          <w:p w14:paraId="120E0F42">
            <w:pPr>
              <w:jc w:val="right"/>
            </w:pPr>
            <w:r>
              <w:t>511,581,200.00</w:t>
            </w:r>
          </w:p>
        </w:tc>
        <w:tc>
          <w:tcPr>
            <w:tcW w:w="1397" w:type="pct"/>
            <w:tcBorders>
              <w:top w:val="outset" w:color="auto" w:sz="6" w:space="0"/>
              <w:left w:val="outset" w:color="auto" w:sz="6" w:space="0"/>
              <w:bottom w:val="outset" w:color="auto" w:sz="6" w:space="0"/>
              <w:right w:val="outset" w:color="auto" w:sz="6" w:space="0"/>
            </w:tcBorders>
            <w:vAlign w:val="center"/>
          </w:tcPr>
          <w:p w14:paraId="402799EE">
            <w:pPr>
              <w:jc w:val="right"/>
            </w:pPr>
            <w:r>
              <w:t>579,993,439.87</w:t>
            </w:r>
          </w:p>
        </w:tc>
      </w:tr>
      <w:tr w14:paraId="04AD4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18C6ED7B">
            <w:pPr>
              <w:ind w:firstLine="210" w:firstLineChars="100"/>
            </w:pPr>
            <w:r>
              <w:rPr>
                <w:rFonts w:hint="eastAsia"/>
              </w:rPr>
              <w:t>偿还债务支付的现金</w:t>
            </w:r>
          </w:p>
        </w:tc>
        <w:tc>
          <w:tcPr>
            <w:tcW w:w="1405" w:type="pct"/>
            <w:tcBorders>
              <w:top w:val="outset" w:color="auto" w:sz="6" w:space="0"/>
              <w:left w:val="outset" w:color="auto" w:sz="6" w:space="0"/>
              <w:bottom w:val="outset" w:color="auto" w:sz="6" w:space="0"/>
              <w:right w:val="outset" w:color="auto" w:sz="6" w:space="0"/>
            </w:tcBorders>
            <w:vAlign w:val="center"/>
          </w:tcPr>
          <w:p w14:paraId="7C736998">
            <w:pPr>
              <w:jc w:val="right"/>
            </w:pPr>
            <w:r>
              <w:t>378,447,463.22</w:t>
            </w:r>
          </w:p>
        </w:tc>
        <w:tc>
          <w:tcPr>
            <w:tcW w:w="1397" w:type="pct"/>
            <w:tcBorders>
              <w:top w:val="outset" w:color="auto" w:sz="6" w:space="0"/>
              <w:left w:val="outset" w:color="auto" w:sz="6" w:space="0"/>
              <w:bottom w:val="outset" w:color="auto" w:sz="6" w:space="0"/>
              <w:right w:val="outset" w:color="auto" w:sz="6" w:space="0"/>
            </w:tcBorders>
            <w:vAlign w:val="center"/>
          </w:tcPr>
          <w:p w14:paraId="58747BD8">
            <w:pPr>
              <w:jc w:val="right"/>
            </w:pPr>
            <w:r>
              <w:t>230,000,000.00</w:t>
            </w:r>
          </w:p>
        </w:tc>
      </w:tr>
      <w:tr w14:paraId="46171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529AE013">
            <w:pPr>
              <w:ind w:firstLine="210" w:firstLineChars="100"/>
            </w:pPr>
            <w:r>
              <w:rPr>
                <w:rFonts w:hint="eastAsia"/>
              </w:rPr>
              <w:t>分配股利、利润或偿付利息支付的现金</w:t>
            </w:r>
          </w:p>
        </w:tc>
        <w:tc>
          <w:tcPr>
            <w:tcW w:w="1405" w:type="pct"/>
            <w:tcBorders>
              <w:top w:val="outset" w:color="auto" w:sz="6" w:space="0"/>
              <w:left w:val="outset" w:color="auto" w:sz="6" w:space="0"/>
              <w:bottom w:val="outset" w:color="auto" w:sz="6" w:space="0"/>
              <w:right w:val="outset" w:color="auto" w:sz="6" w:space="0"/>
            </w:tcBorders>
            <w:vAlign w:val="center"/>
          </w:tcPr>
          <w:p w14:paraId="6D5BBCEA">
            <w:pPr>
              <w:jc w:val="right"/>
            </w:pPr>
            <w:r>
              <w:t>500,549,905.37</w:t>
            </w:r>
          </w:p>
        </w:tc>
        <w:tc>
          <w:tcPr>
            <w:tcW w:w="1397" w:type="pct"/>
            <w:tcBorders>
              <w:top w:val="outset" w:color="auto" w:sz="6" w:space="0"/>
              <w:left w:val="outset" w:color="auto" w:sz="6" w:space="0"/>
              <w:bottom w:val="outset" w:color="auto" w:sz="6" w:space="0"/>
              <w:right w:val="outset" w:color="auto" w:sz="6" w:space="0"/>
            </w:tcBorders>
            <w:vAlign w:val="center"/>
          </w:tcPr>
          <w:p w14:paraId="69992E2A">
            <w:pPr>
              <w:jc w:val="right"/>
            </w:pPr>
            <w:r>
              <w:t>500,558,744.90</w:t>
            </w:r>
          </w:p>
        </w:tc>
      </w:tr>
      <w:tr w14:paraId="5A48C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2A7C877E">
            <w:pPr>
              <w:ind w:firstLine="210" w:firstLineChars="100"/>
            </w:pPr>
            <w:r>
              <w:rPr>
                <w:rFonts w:hint="eastAsia"/>
              </w:rPr>
              <w:t>其中：子公司支付给少数股东的股利、利润</w:t>
            </w:r>
          </w:p>
        </w:tc>
        <w:tc>
          <w:tcPr>
            <w:tcW w:w="1405" w:type="pct"/>
            <w:tcBorders>
              <w:top w:val="outset" w:color="auto" w:sz="6" w:space="0"/>
              <w:left w:val="outset" w:color="auto" w:sz="6" w:space="0"/>
              <w:bottom w:val="outset" w:color="auto" w:sz="6" w:space="0"/>
              <w:right w:val="outset" w:color="auto" w:sz="6" w:space="0"/>
            </w:tcBorders>
          </w:tcPr>
          <w:p w14:paraId="04E5EDAE">
            <w:pPr>
              <w:jc w:val="right"/>
            </w:pPr>
          </w:p>
        </w:tc>
        <w:tc>
          <w:tcPr>
            <w:tcW w:w="1397" w:type="pct"/>
            <w:tcBorders>
              <w:top w:val="outset" w:color="auto" w:sz="6" w:space="0"/>
              <w:left w:val="outset" w:color="auto" w:sz="6" w:space="0"/>
              <w:bottom w:val="outset" w:color="auto" w:sz="6" w:space="0"/>
              <w:right w:val="outset" w:color="auto" w:sz="6" w:space="0"/>
            </w:tcBorders>
          </w:tcPr>
          <w:p w14:paraId="1A331724">
            <w:pPr>
              <w:jc w:val="right"/>
            </w:pPr>
          </w:p>
        </w:tc>
      </w:tr>
      <w:tr w14:paraId="2DD4A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15955417">
            <w:pPr>
              <w:ind w:firstLine="210" w:firstLineChars="100"/>
            </w:pPr>
            <w:r>
              <w:rPr>
                <w:rFonts w:hint="eastAsia"/>
              </w:rPr>
              <w:t>支付其他与筹资活动有关的现金</w:t>
            </w:r>
          </w:p>
        </w:tc>
        <w:tc>
          <w:tcPr>
            <w:tcW w:w="1405" w:type="pct"/>
            <w:tcBorders>
              <w:top w:val="outset" w:color="auto" w:sz="6" w:space="0"/>
              <w:left w:val="outset" w:color="auto" w:sz="6" w:space="0"/>
              <w:bottom w:val="outset" w:color="auto" w:sz="6" w:space="0"/>
              <w:right w:val="outset" w:color="auto" w:sz="6" w:space="0"/>
            </w:tcBorders>
            <w:vAlign w:val="center"/>
          </w:tcPr>
          <w:p w14:paraId="4648EF4F">
            <w:pPr>
              <w:jc w:val="right"/>
            </w:pPr>
            <w:r>
              <w:t>5,139,292.68</w:t>
            </w:r>
          </w:p>
        </w:tc>
        <w:tc>
          <w:tcPr>
            <w:tcW w:w="1397" w:type="pct"/>
            <w:tcBorders>
              <w:top w:val="outset" w:color="auto" w:sz="6" w:space="0"/>
              <w:left w:val="outset" w:color="auto" w:sz="6" w:space="0"/>
              <w:bottom w:val="outset" w:color="auto" w:sz="6" w:space="0"/>
              <w:right w:val="outset" w:color="auto" w:sz="6" w:space="0"/>
            </w:tcBorders>
            <w:vAlign w:val="center"/>
          </w:tcPr>
          <w:p w14:paraId="607D799C">
            <w:pPr>
              <w:jc w:val="right"/>
            </w:pPr>
            <w:r>
              <w:t>391,893,165.27</w:t>
            </w:r>
          </w:p>
        </w:tc>
      </w:tr>
      <w:tr w14:paraId="52403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17A57046">
            <w:pPr>
              <w:ind w:firstLine="420" w:firstLineChars="200"/>
            </w:pPr>
            <w:r>
              <w:rPr>
                <w:rFonts w:hint="eastAsia"/>
              </w:rPr>
              <w:t>筹资活动现金流出小计</w:t>
            </w:r>
          </w:p>
        </w:tc>
        <w:tc>
          <w:tcPr>
            <w:tcW w:w="1405" w:type="pct"/>
            <w:tcBorders>
              <w:top w:val="outset" w:color="auto" w:sz="6" w:space="0"/>
              <w:left w:val="outset" w:color="auto" w:sz="6" w:space="0"/>
              <w:bottom w:val="outset" w:color="auto" w:sz="6" w:space="0"/>
              <w:right w:val="outset" w:color="auto" w:sz="6" w:space="0"/>
            </w:tcBorders>
            <w:vAlign w:val="center"/>
          </w:tcPr>
          <w:p w14:paraId="731DFED0">
            <w:pPr>
              <w:jc w:val="right"/>
            </w:pPr>
            <w:r>
              <w:t>884,136,661.27</w:t>
            </w:r>
          </w:p>
        </w:tc>
        <w:tc>
          <w:tcPr>
            <w:tcW w:w="1397" w:type="pct"/>
            <w:tcBorders>
              <w:top w:val="outset" w:color="auto" w:sz="6" w:space="0"/>
              <w:left w:val="outset" w:color="auto" w:sz="6" w:space="0"/>
              <w:bottom w:val="outset" w:color="auto" w:sz="6" w:space="0"/>
              <w:right w:val="outset" w:color="auto" w:sz="6" w:space="0"/>
            </w:tcBorders>
            <w:vAlign w:val="center"/>
          </w:tcPr>
          <w:p w14:paraId="774F2CD8">
            <w:pPr>
              <w:jc w:val="right"/>
            </w:pPr>
            <w:r>
              <w:t>1,122,451,910.17</w:t>
            </w:r>
          </w:p>
        </w:tc>
      </w:tr>
      <w:tr w14:paraId="54157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30F0852">
            <w:pPr>
              <w:ind w:firstLine="630" w:firstLineChars="300"/>
            </w:pPr>
            <w:r>
              <w:rPr>
                <w:rFonts w:hint="eastAsia"/>
              </w:rPr>
              <w:t>筹资活动产生的现金流量净额</w:t>
            </w:r>
          </w:p>
        </w:tc>
        <w:tc>
          <w:tcPr>
            <w:tcW w:w="1405" w:type="pct"/>
            <w:tcBorders>
              <w:top w:val="outset" w:color="auto" w:sz="6" w:space="0"/>
              <w:left w:val="outset" w:color="auto" w:sz="6" w:space="0"/>
              <w:bottom w:val="outset" w:color="auto" w:sz="6" w:space="0"/>
              <w:right w:val="outset" w:color="auto" w:sz="6" w:space="0"/>
            </w:tcBorders>
            <w:vAlign w:val="center"/>
          </w:tcPr>
          <w:p w14:paraId="34C7DBF3">
            <w:pPr>
              <w:jc w:val="right"/>
            </w:pPr>
            <w:r>
              <w:t>-372,555,461.27</w:t>
            </w:r>
          </w:p>
        </w:tc>
        <w:tc>
          <w:tcPr>
            <w:tcW w:w="1397" w:type="pct"/>
            <w:tcBorders>
              <w:top w:val="outset" w:color="auto" w:sz="6" w:space="0"/>
              <w:left w:val="outset" w:color="auto" w:sz="6" w:space="0"/>
              <w:bottom w:val="outset" w:color="auto" w:sz="6" w:space="0"/>
              <w:right w:val="outset" w:color="auto" w:sz="6" w:space="0"/>
            </w:tcBorders>
            <w:vAlign w:val="center"/>
          </w:tcPr>
          <w:p w14:paraId="7647F7D9">
            <w:pPr>
              <w:jc w:val="right"/>
            </w:pPr>
            <w:r>
              <w:t>-542,458,470.30</w:t>
            </w:r>
          </w:p>
        </w:tc>
      </w:tr>
      <w:tr w14:paraId="56920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27458206">
            <w:r>
              <w:rPr>
                <w:rFonts w:hint="eastAsia"/>
                <w:b/>
                <w:bCs/>
              </w:rPr>
              <w:t>四、汇率变动对现金及现金等价物的影响</w:t>
            </w:r>
          </w:p>
        </w:tc>
        <w:tc>
          <w:tcPr>
            <w:tcW w:w="1405" w:type="pct"/>
            <w:tcBorders>
              <w:top w:val="outset" w:color="auto" w:sz="6" w:space="0"/>
              <w:left w:val="outset" w:color="auto" w:sz="6" w:space="0"/>
              <w:bottom w:val="outset" w:color="auto" w:sz="6" w:space="0"/>
              <w:right w:val="outset" w:color="auto" w:sz="6" w:space="0"/>
            </w:tcBorders>
            <w:vAlign w:val="center"/>
          </w:tcPr>
          <w:p w14:paraId="75BC650D">
            <w:pPr>
              <w:jc w:val="right"/>
            </w:pPr>
            <w:r>
              <w:t>-21.97</w:t>
            </w:r>
          </w:p>
        </w:tc>
        <w:tc>
          <w:tcPr>
            <w:tcW w:w="1397" w:type="pct"/>
            <w:tcBorders>
              <w:top w:val="outset" w:color="auto" w:sz="6" w:space="0"/>
              <w:left w:val="outset" w:color="auto" w:sz="6" w:space="0"/>
              <w:bottom w:val="outset" w:color="auto" w:sz="6" w:space="0"/>
              <w:right w:val="outset" w:color="auto" w:sz="6" w:space="0"/>
            </w:tcBorders>
            <w:vAlign w:val="center"/>
          </w:tcPr>
          <w:p w14:paraId="4DDB7A9B">
            <w:pPr>
              <w:jc w:val="right"/>
            </w:pPr>
            <w:r>
              <w:t>344,162.81</w:t>
            </w:r>
          </w:p>
        </w:tc>
      </w:tr>
      <w:tr w14:paraId="40B89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788E16E4">
            <w:r>
              <w:rPr>
                <w:rFonts w:hint="eastAsia"/>
                <w:b/>
                <w:bCs/>
              </w:rPr>
              <w:t>五、现金及现金等价物净增加额</w:t>
            </w:r>
          </w:p>
        </w:tc>
        <w:tc>
          <w:tcPr>
            <w:tcW w:w="1405" w:type="pct"/>
            <w:tcBorders>
              <w:top w:val="outset" w:color="auto" w:sz="6" w:space="0"/>
              <w:left w:val="outset" w:color="auto" w:sz="6" w:space="0"/>
              <w:bottom w:val="outset" w:color="auto" w:sz="6" w:space="0"/>
              <w:right w:val="outset" w:color="auto" w:sz="6" w:space="0"/>
            </w:tcBorders>
            <w:vAlign w:val="center"/>
          </w:tcPr>
          <w:p w14:paraId="420987ED">
            <w:pPr>
              <w:jc w:val="right"/>
            </w:pPr>
            <w:r>
              <w:t>912,628,869.66</w:t>
            </w:r>
          </w:p>
        </w:tc>
        <w:tc>
          <w:tcPr>
            <w:tcW w:w="1397" w:type="pct"/>
            <w:tcBorders>
              <w:top w:val="outset" w:color="auto" w:sz="6" w:space="0"/>
              <w:left w:val="outset" w:color="auto" w:sz="6" w:space="0"/>
              <w:bottom w:val="outset" w:color="auto" w:sz="6" w:space="0"/>
              <w:right w:val="outset" w:color="auto" w:sz="6" w:space="0"/>
            </w:tcBorders>
            <w:vAlign w:val="center"/>
          </w:tcPr>
          <w:p w14:paraId="7E55545A">
            <w:pPr>
              <w:jc w:val="right"/>
            </w:pPr>
            <w:r>
              <w:t>-772,011,764.56</w:t>
            </w:r>
          </w:p>
        </w:tc>
      </w:tr>
      <w:tr w14:paraId="0A26D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CC345E7">
            <w:pPr>
              <w:ind w:firstLine="210" w:firstLineChars="100"/>
            </w:pPr>
            <w:r>
              <w:rPr>
                <w:rFonts w:hint="eastAsia"/>
              </w:rPr>
              <w:t>加：期初现金及现金等价物余额</w:t>
            </w:r>
          </w:p>
        </w:tc>
        <w:tc>
          <w:tcPr>
            <w:tcW w:w="1405" w:type="pct"/>
            <w:tcBorders>
              <w:top w:val="outset" w:color="auto" w:sz="6" w:space="0"/>
              <w:left w:val="outset" w:color="auto" w:sz="6" w:space="0"/>
              <w:bottom w:val="outset" w:color="auto" w:sz="6" w:space="0"/>
              <w:right w:val="outset" w:color="auto" w:sz="6" w:space="0"/>
            </w:tcBorders>
            <w:vAlign w:val="center"/>
          </w:tcPr>
          <w:p w14:paraId="43E27A43">
            <w:pPr>
              <w:jc w:val="right"/>
            </w:pPr>
            <w:r>
              <w:t>586,595,200.23</w:t>
            </w:r>
          </w:p>
        </w:tc>
        <w:tc>
          <w:tcPr>
            <w:tcW w:w="1397" w:type="pct"/>
            <w:tcBorders>
              <w:top w:val="outset" w:color="auto" w:sz="6" w:space="0"/>
              <w:left w:val="outset" w:color="auto" w:sz="6" w:space="0"/>
              <w:bottom w:val="outset" w:color="auto" w:sz="6" w:space="0"/>
              <w:right w:val="outset" w:color="auto" w:sz="6" w:space="0"/>
            </w:tcBorders>
            <w:vAlign w:val="center"/>
          </w:tcPr>
          <w:p w14:paraId="5FC74D56">
            <w:pPr>
              <w:jc w:val="right"/>
            </w:pPr>
            <w:r>
              <w:t>1,104,837,091.39</w:t>
            </w:r>
          </w:p>
        </w:tc>
      </w:tr>
      <w:tr w14:paraId="79075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E6F094E">
            <w:r>
              <w:rPr>
                <w:rFonts w:hint="eastAsia"/>
                <w:b/>
                <w:bCs/>
              </w:rPr>
              <w:t>六、期末现金及现金等价物余额</w:t>
            </w:r>
          </w:p>
        </w:tc>
        <w:tc>
          <w:tcPr>
            <w:tcW w:w="1405" w:type="pct"/>
            <w:tcBorders>
              <w:top w:val="outset" w:color="auto" w:sz="6" w:space="0"/>
              <w:left w:val="outset" w:color="auto" w:sz="6" w:space="0"/>
              <w:bottom w:val="outset" w:color="auto" w:sz="6" w:space="0"/>
              <w:right w:val="outset" w:color="auto" w:sz="6" w:space="0"/>
            </w:tcBorders>
            <w:vAlign w:val="center"/>
          </w:tcPr>
          <w:p w14:paraId="4663FB27">
            <w:pPr>
              <w:jc w:val="right"/>
            </w:pPr>
            <w:r>
              <w:t>1,499,224,069.89</w:t>
            </w:r>
          </w:p>
        </w:tc>
        <w:tc>
          <w:tcPr>
            <w:tcW w:w="1397" w:type="pct"/>
            <w:tcBorders>
              <w:top w:val="outset" w:color="auto" w:sz="6" w:space="0"/>
              <w:left w:val="outset" w:color="auto" w:sz="6" w:space="0"/>
              <w:bottom w:val="outset" w:color="auto" w:sz="6" w:space="0"/>
              <w:right w:val="outset" w:color="auto" w:sz="6" w:space="0"/>
            </w:tcBorders>
            <w:vAlign w:val="center"/>
          </w:tcPr>
          <w:p w14:paraId="17955FF9">
            <w:pPr>
              <w:jc w:val="right"/>
            </w:pPr>
            <w:r>
              <w:t>332,825,326.83</w:t>
            </w:r>
          </w:p>
        </w:tc>
      </w:tr>
    </w:tbl>
    <w:p w14:paraId="47EF8B9D">
      <w:pPr>
        <w:snapToGrid w:val="0"/>
        <w:spacing w:line="240" w:lineRule="atLeast"/>
        <w:ind w:right="25" w:rightChars="12"/>
      </w:pPr>
    </w:p>
    <w:p w14:paraId="0DB65912">
      <w:pPr>
        <w:snapToGrid w:val="0"/>
        <w:spacing w:line="240" w:lineRule="atLeast"/>
        <w:ind w:right="25" w:rightChars="12"/>
      </w:pPr>
      <w:r>
        <w:rPr>
          <w:rFonts w:hint="eastAsia"/>
        </w:rPr>
        <w:t>公司负责</w:t>
      </w:r>
      <w:r>
        <w:t>人</w:t>
      </w:r>
      <w:r>
        <w:rPr>
          <w:rFonts w:hint="eastAsia"/>
        </w:rPr>
        <w:t>：</w:t>
      </w:r>
      <w:sdt>
        <w:sdtPr>
          <w:rPr>
            <w:rFonts w:hint="eastAsia"/>
          </w:rPr>
          <w:alias w:val="公司负责人"/>
          <w:tag w:val="_GBC_cc37355f76be4f15bf025656d96bc3ad"/>
          <w:id w:val="-270087906"/>
          <w:placeholder>
            <w:docPart w:val="GBC22222222222222222222222222222"/>
          </w:placeholder>
          <w:dataBinding w:prefixMappings="xmlns:clcid-mr='clcid-mr'" w:xpath="/*/clcid-mr:GongSiFuZeRenXingMing[not(@periodRef)]" w:storeItemID="{42DEBF9A-6816-48AE-BADD-E3125C474CD9}"/>
          <w:text/>
        </w:sdtPr>
        <w:sdtEndPr>
          <w:rPr>
            <w:rFonts w:hint="eastAsia"/>
          </w:rPr>
        </w:sdtEndPr>
        <w:sdtContent>
          <w:r>
            <w:rPr>
              <w:rFonts w:hint="eastAsia"/>
            </w:rPr>
            <w:t>李佳鸿</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640806029"/>
          <w:placeholder>
            <w:docPart w:val="GBC22222222222222222222222222222"/>
          </w:placeholder>
          <w:dataBinding w:prefixMappings="xmlns:clcid-mr='clcid-mr'" w:xpath="/*/clcid-mr:ZhuGuanKuaiJiGongZuoFuZeRenXingMing[not(@periodRef)]" w:storeItemID="{42DEBF9A-6816-48AE-BADD-E3125C474CD9}"/>
          <w:text/>
        </w:sdtPr>
        <w:sdtEndPr>
          <w:rPr>
            <w:rFonts w:hint="eastAsia"/>
          </w:rPr>
        </w:sdtEndPr>
        <w:sdtContent>
          <w:r>
            <w:rPr>
              <w:rFonts w:hint="eastAsia"/>
            </w:rPr>
            <w:t>迟军玉</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2008637793"/>
          <w:placeholder>
            <w:docPart w:val="GBC22222222222222222222222222222"/>
          </w:placeholder>
          <w:dataBinding w:prefixMappings="xmlns:clcid-mr='clcid-mr'" w:xpath="/*/clcid-mr:KuaiJiJiGouFuZeRenXingMing[not(@periodRef)]" w:storeItemID="{42DEBF9A-6816-48AE-BADD-E3125C474CD9}"/>
          <w:text/>
        </w:sdtPr>
        <w:sdtEndPr>
          <w:rPr>
            <w:rFonts w:hint="eastAsia"/>
          </w:rPr>
        </w:sdtEndPr>
        <w:sdtContent>
          <w:r>
            <w:rPr>
              <w:rFonts w:hint="eastAsia"/>
            </w:rPr>
            <w:t>樊鸿宇</w:t>
          </w:r>
        </w:sdtContent>
      </w:sdt>
    </w:p>
    <w:p w14:paraId="1B4CFD21">
      <w:pPr>
        <w:snapToGrid w:val="0"/>
        <w:spacing w:line="240" w:lineRule="atLeast"/>
        <w:ind w:right="-153" w:rightChars="-73"/>
      </w:pPr>
    </w:p>
    <w:p w14:paraId="60948026">
      <w:bookmarkStart w:id="26" w:name="_Hlk114043348"/>
      <w:bookmarkEnd w:id="26"/>
    </w:p>
    <w:p w14:paraId="6881C40C">
      <w:pPr>
        <w:pStyle w:val="3"/>
        <w:spacing w:before="0" w:after="0" w:line="360" w:lineRule="auto"/>
      </w:pPr>
      <w:bookmarkStart w:id="27" w:name="_Hlk10465969"/>
      <w:r>
        <w:rPr>
          <w:rFonts w:hint="eastAsia"/>
        </w:rPr>
        <w:t>2025年起首次执行新会计准则或准则解释等涉及调整首次执行当年年初的财务报表</w:t>
      </w:r>
    </w:p>
    <w:sdt>
      <w:sdtPr>
        <w:alias w:val="首次执行新会计准则或准则解释等涉及调整首次执行当年年初的财务报表[双击切换]"/>
        <w:tag w:val="_GBC_26f6f962b8594c66876d1facac7b33be"/>
        <w:id w:val="768128156"/>
        <w:placeholder>
          <w:docPart w:val="GBC22222222222222222222222222222"/>
        </w:placeholder>
      </w:sdtPr>
      <w:sdtContent>
        <w:p w14:paraId="494A92DF">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02ED66FF">
      <w:bookmarkStart w:id="28" w:name="_Hlk3899275"/>
      <w:bookmarkEnd w:id="28"/>
      <w:bookmarkStart w:id="29" w:name="_Hlk114234108"/>
      <w:bookmarkEnd w:id="29"/>
      <w:bookmarkStart w:id="30" w:name="_Hlk114234405"/>
      <w:bookmarkEnd w:id="30"/>
      <w:bookmarkStart w:id="31" w:name="_Hlk114475741"/>
      <w:bookmarkEnd w:id="31"/>
    </w:p>
    <w:bookmarkEnd w:id="27"/>
    <w:p w14:paraId="7D3CE355">
      <w:pPr>
        <w:ind w:firstLine="420" w:firstLineChars="200"/>
      </w:pPr>
      <w:r>
        <w:rPr>
          <w:rFonts w:hint="eastAsia"/>
        </w:rPr>
        <w:t>特此公告。</w:t>
      </w:r>
    </w:p>
    <w:p w14:paraId="1DAAE7C9">
      <w:pPr>
        <w:wordWrap w:val="0"/>
        <w:ind w:firstLine="630" w:firstLineChars="300"/>
        <w:jc w:val="right"/>
      </w:pPr>
      <w:r>
        <w:rPr>
          <w:rFonts w:hint="eastAsia"/>
        </w:rPr>
        <w:t xml:space="preserve"> </w:t>
      </w:r>
      <w:sdt>
        <w:sdtPr>
          <w:alias w:val="公司法定中文名称"/>
          <w:tag w:val="_GBC_97bb4173876e440c97df4ba2e21cecdc"/>
          <w:id w:val="-497415076"/>
          <w:placeholder>
            <w:docPart w:val="GBC22222222222222222222222222222"/>
          </w:placeholder>
        </w:sdtPr>
        <w:sdtContent>
          <w:r>
            <w:t>通化东宝药业股份有限公司</w:t>
          </w:r>
        </w:sdtContent>
      </w:sdt>
      <w:r>
        <w:rPr>
          <w:rFonts w:hint="eastAsia"/>
        </w:rPr>
        <w:t>董事会</w:t>
      </w:r>
    </w:p>
    <w:p w14:paraId="4D7BE681">
      <w:pPr>
        <w:ind w:firstLine="630" w:firstLineChars="300"/>
        <w:jc w:val="right"/>
      </w:pPr>
      <w:sdt>
        <w:sdtPr>
          <w:alias w:val="报告董事会批准报送日期"/>
          <w:tag w:val="_GBC_f2bf2a7bed8f4dce8af67821eab24d3c"/>
          <w:id w:val="-2106486228"/>
          <w:placeholder>
            <w:docPart w:val="GBC22222222222222222222222222222"/>
          </w:placeholder>
          <w:date w:fullDate="2025-10-27T00:00:00Z">
            <w:dateFormat w:val="yyyy'年'M'月'd'日'"/>
            <w:lid w:val="zh-CN"/>
            <w:storeMappedDataAs w:val="datetime"/>
            <w:calendar w:val="gregorian"/>
          </w:date>
        </w:sdtPr>
        <w:sdtContent>
          <w:r>
            <w:rPr>
              <w:rFonts w:hint="eastAsia"/>
            </w:rPr>
            <w:t>2025年10月27日</w:t>
          </w:r>
        </w:sdtContent>
      </w:sdt>
    </w:p>
    <w:sectPr>
      <w:headerReference r:id="rId3" w:type="default"/>
      <w:footerReference r:id="rId4" w:type="default"/>
      <w:pgSz w:w="11906" w:h="16838"/>
      <w:pgMar w:top="1525" w:right="1276"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Narrow">
    <w:altName w:val="Arial Narrow"/>
    <w:panose1 w:val="00000000000000000000"/>
    <w:charset w:val="00"/>
    <w:family w:val="swiss"/>
    <w:pitch w:val="default"/>
    <w:sig w:usb0="00000000" w:usb1="00000000" w:usb2="00000000" w:usb3="00000000" w:csb0="00000001" w:csb1="00000000"/>
  </w:font>
  <w:font w:name="Arial Narrow">
    <w:panose1 w:val="020B0606020202030204"/>
    <w:charset w:val="00"/>
    <w:family w:val="auto"/>
    <w:pitch w:val="default"/>
    <w:sig w:usb0="00000287" w:usb1="00000800" w:usb2="00000000" w:usb3="00000000" w:csb0="2000009F" w:csb1="DFD70000"/>
  </w:font>
  <w:font w:name="Noto Sans CJK JP Regular">
    <w:altName w:val="黑体"/>
    <w:panose1 w:val="00000000000000000000"/>
    <w:charset w:val="86"/>
    <w:family w:val="swiss"/>
    <w:pitch w:val="default"/>
    <w:sig w:usb0="00000000" w:usb1="00000000" w:usb2="00000016" w:usb3="00000000" w:csb0="002E0107" w:csb1="00000000"/>
  </w:font>
  <w:font w:name="FZLTSK--GBK1-0">
    <w:altName w:val="Times New Roman"/>
    <w:panose1 w:val="00000000000000000000"/>
    <w:charset w:val="00"/>
    <w:family w:val="roman"/>
    <w:pitch w:val="default"/>
    <w:sig w:usb0="00000000" w:usb1="00000000" w:usb2="00000000" w:usb3="00000000" w:csb0="00000000" w:csb1="00000000"/>
  </w:font>
  <w:font w:name="宋体-方正超大字符集">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1B5F3">
    <w:pPr>
      <w:pStyle w:val="27"/>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p w14:paraId="27A08235">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41ED8">
    <w:pPr>
      <w:pStyle w:val="28"/>
      <w:tabs>
        <w:tab w:val="left" w:pos="8364"/>
        <w:tab w:val="left" w:pos="8505"/>
        <w:tab w:val="clear" w:pos="8306"/>
      </w:tabs>
      <w:ind w:right="21" w:rightChars="10"/>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EndPr>
        <w:rPr>
          <w:rFonts w:hint="eastAsia"/>
          <w:b/>
        </w:rPr>
      </w:sdtEndPr>
      <w:sdtContent>
        <w:r>
          <w:rPr>
            <w:rFonts w:hint="eastAsia"/>
            <w:b/>
          </w:rPr>
          <w:t>通化东宝药业股份有限公司</w:t>
        </w:r>
      </w:sdtContent>
    </w:sdt>
    <w:r>
      <w:rPr>
        <w:rFonts w:hint="eastAsia"/>
        <w:b/>
      </w:rPr>
      <w:t xml:space="preserve"> 2025年第三季度报告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lvlText w:val="%1、"/>
      <w:lvlJc w:val="center"/>
      <w:pPr>
        <w:ind w:left="0" w:firstLine="0"/>
      </w:pPr>
      <w:rPr>
        <w:rFonts w:hint="default"/>
        <w:b/>
        <w:i w:val="0"/>
        <w:color w:val="auto"/>
      </w:rPr>
    </w:lvl>
    <w:lvl w:ilvl="1" w:tentative="0">
      <w:start w:val="1"/>
      <w:numFmt w:val="decimal"/>
      <w:lvlText w:val="1.%2 "/>
      <w:lvlJc w:val="left"/>
      <w:pPr>
        <w:ind w:left="0" w:firstLine="0"/>
      </w:pPr>
      <w:rPr>
        <w:rFonts w:hint="eastAsia"/>
        <w:b w:val="0"/>
        <w:i w:val="0"/>
        <w:color w:val="auto"/>
      </w:rPr>
    </w:lvl>
    <w:lvl w:ilvl="2" w:tentative="0">
      <w:start w:val="1"/>
      <w:numFmt w:val="decimal"/>
      <w:suff w:val="nothing"/>
      <w:lvlText w:val="1.%3、"/>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1">
    <w:nsid w:val="05CF0987"/>
    <w:multiLevelType w:val="multilevel"/>
    <w:tmpl w:val="05CF09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757A52"/>
    <w:multiLevelType w:val="multilevel"/>
    <w:tmpl w:val="3D757A52"/>
    <w:lvl w:ilvl="0" w:tentative="0">
      <w:start w:val="1"/>
      <w:numFmt w:val="chineseCountingThousand"/>
      <w:suff w:val="nothing"/>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CE6D1E"/>
    <w:multiLevelType w:val="multilevel"/>
    <w:tmpl w:val="68CE6D1E"/>
    <w:lvl w:ilvl="0" w:tentative="0">
      <w:start w:val="1"/>
      <w:numFmt w:val="chineseCountingThousand"/>
      <w:lvlText w:val="%1、"/>
      <w:lvlJc w:val="left"/>
      <w:pPr>
        <w:ind w:left="420" w:hanging="420"/>
      </w:pPr>
      <w:rPr>
        <w:rFonts w:hint="default"/>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F057044"/>
    <w:multiLevelType w:val="multilevel"/>
    <w:tmpl w:val="6F05704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840019C"/>
    <w:multiLevelType w:val="multilevel"/>
    <w:tmpl w:val="7840019C"/>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141F43"/>
    <w:rsid w:val="000A4327"/>
    <w:rsid w:val="000C28D0"/>
    <w:rsid w:val="00136EB7"/>
    <w:rsid w:val="00141F43"/>
    <w:rsid w:val="00155B9D"/>
    <w:rsid w:val="00182507"/>
    <w:rsid w:val="00190CA3"/>
    <w:rsid w:val="0023759D"/>
    <w:rsid w:val="00353D05"/>
    <w:rsid w:val="003E0C58"/>
    <w:rsid w:val="00466B03"/>
    <w:rsid w:val="005B7096"/>
    <w:rsid w:val="006041A2"/>
    <w:rsid w:val="00697456"/>
    <w:rsid w:val="007872A2"/>
    <w:rsid w:val="007C1571"/>
    <w:rsid w:val="0081733C"/>
    <w:rsid w:val="00855067"/>
    <w:rsid w:val="00886958"/>
    <w:rsid w:val="008A473B"/>
    <w:rsid w:val="0094042A"/>
    <w:rsid w:val="009F3E49"/>
    <w:rsid w:val="00A55F0F"/>
    <w:rsid w:val="00AA413B"/>
    <w:rsid w:val="00AC5860"/>
    <w:rsid w:val="00C13F00"/>
    <w:rsid w:val="00C70AC9"/>
    <w:rsid w:val="00D559DB"/>
    <w:rsid w:val="00E137A6"/>
    <w:rsid w:val="00E2262A"/>
    <w:rsid w:val="00E8528A"/>
    <w:rsid w:val="00F1377B"/>
    <w:rsid w:val="0F686A7E"/>
    <w:rsid w:val="132648A5"/>
    <w:rsid w:val="21B53E47"/>
    <w:rsid w:val="544C10AF"/>
    <w:rsid w:val="59494265"/>
    <w:rsid w:val="60D60574"/>
    <w:rsid w:val="6B141E0A"/>
    <w:rsid w:val="750B2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iPriority="99" w:semiHidden="0" w:name="Date"/>
    <w:lsdException w:uiPriority="99" w:name="Body Text First Indent"/>
    <w:lsdException w:uiPriority="99" w:name="Body Text First Indent 2"/>
    <w:lsdException w:qFormat="1"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1"/>
      <w:lang w:val="en-US" w:eastAsia="zh-CN" w:bidi="ar-SA"/>
    </w:rPr>
  </w:style>
  <w:style w:type="paragraph" w:styleId="2">
    <w:name w:val="heading 1"/>
    <w:basedOn w:val="1"/>
    <w:next w:val="1"/>
    <w:link w:val="45"/>
    <w:qFormat/>
    <w:uiPriority w:val="99"/>
    <w:pPr>
      <w:keepNext/>
      <w:keepLines/>
      <w:widowControl w:val="0"/>
      <w:adjustRightInd w:val="0"/>
      <w:outlineLvl w:val="0"/>
    </w:pPr>
    <w:rPr>
      <w:b/>
      <w:kern w:val="44"/>
      <w:sz w:val="44"/>
    </w:rPr>
  </w:style>
  <w:style w:type="paragraph" w:styleId="3">
    <w:name w:val="heading 2"/>
    <w:basedOn w:val="1"/>
    <w:next w:val="1"/>
    <w:link w:val="46"/>
    <w:qFormat/>
    <w:uiPriority w:val="0"/>
    <w:pPr>
      <w:keepNext/>
      <w:keepLines/>
      <w:widowControl w:val="0"/>
      <w:adjustRightInd w:val="0"/>
      <w:spacing w:before="120" w:after="120" w:line="480" w:lineRule="atLeast"/>
      <w:outlineLvl w:val="1"/>
    </w:pPr>
    <w:rPr>
      <w:b/>
      <w:bCs/>
    </w:rPr>
  </w:style>
  <w:style w:type="paragraph" w:styleId="4">
    <w:name w:val="heading 3"/>
    <w:basedOn w:val="1"/>
    <w:next w:val="1"/>
    <w:link w:val="47"/>
    <w:qFormat/>
    <w:uiPriority w:val="9"/>
    <w:pPr>
      <w:keepNext/>
      <w:keepLines/>
      <w:widowControl w:val="0"/>
      <w:adjustRightInd w:val="0"/>
      <w:outlineLvl w:val="2"/>
    </w:pPr>
  </w:style>
  <w:style w:type="paragraph" w:styleId="5">
    <w:name w:val="heading 4"/>
    <w:basedOn w:val="1"/>
    <w:next w:val="1"/>
    <w:link w:val="48"/>
    <w:qFormat/>
    <w:uiPriority w:val="9"/>
    <w:pPr>
      <w:keepNext/>
      <w:keepLines/>
      <w:widowControl w:val="0"/>
      <w:numPr>
        <w:ilvl w:val="3"/>
        <w:numId w:val="1"/>
      </w:numPr>
      <w:adjustRightInd w:val="0"/>
      <w:spacing w:before="280" w:after="290" w:line="376" w:lineRule="atLeast"/>
      <w:outlineLvl w:val="3"/>
    </w:pPr>
    <w:rPr>
      <w:rFonts w:ascii="Arial" w:hAnsi="Arial" w:eastAsia="黑体"/>
      <w:b/>
      <w:sz w:val="28"/>
    </w:rPr>
  </w:style>
  <w:style w:type="paragraph" w:styleId="6">
    <w:name w:val="heading 5"/>
    <w:basedOn w:val="1"/>
    <w:next w:val="1"/>
    <w:link w:val="49"/>
    <w:qFormat/>
    <w:uiPriority w:val="9"/>
    <w:pPr>
      <w:keepNext/>
      <w:keepLines/>
      <w:widowControl w:val="0"/>
      <w:numPr>
        <w:ilvl w:val="4"/>
        <w:numId w:val="1"/>
      </w:numPr>
      <w:adjustRightInd w:val="0"/>
      <w:spacing w:before="280" w:after="290" w:line="376" w:lineRule="atLeast"/>
      <w:outlineLvl w:val="4"/>
    </w:pPr>
    <w:rPr>
      <w:b/>
      <w:sz w:val="28"/>
    </w:rPr>
  </w:style>
  <w:style w:type="paragraph" w:styleId="7">
    <w:name w:val="heading 6"/>
    <w:basedOn w:val="1"/>
    <w:next w:val="1"/>
    <w:link w:val="50"/>
    <w:qFormat/>
    <w:uiPriority w:val="9"/>
    <w:pPr>
      <w:keepNext/>
      <w:keepLines/>
      <w:widowControl w:val="0"/>
      <w:numPr>
        <w:ilvl w:val="5"/>
        <w:numId w:val="1"/>
      </w:numPr>
      <w:adjustRightInd w:val="0"/>
      <w:spacing w:before="240" w:after="64" w:line="320" w:lineRule="atLeast"/>
      <w:outlineLvl w:val="5"/>
    </w:pPr>
    <w:rPr>
      <w:rFonts w:ascii="Arial" w:hAnsi="Arial" w:eastAsia="黑体"/>
      <w:b/>
      <w:sz w:val="24"/>
    </w:rPr>
  </w:style>
  <w:style w:type="paragraph" w:styleId="8">
    <w:name w:val="heading 7"/>
    <w:basedOn w:val="1"/>
    <w:next w:val="1"/>
    <w:link w:val="51"/>
    <w:qFormat/>
    <w:uiPriority w:val="9"/>
    <w:pPr>
      <w:keepNext/>
      <w:keepLines/>
      <w:widowControl w:val="0"/>
      <w:numPr>
        <w:ilvl w:val="6"/>
        <w:numId w:val="1"/>
      </w:numPr>
      <w:adjustRightInd w:val="0"/>
      <w:spacing w:before="240" w:after="64" w:line="320" w:lineRule="atLeast"/>
      <w:outlineLvl w:val="6"/>
    </w:pPr>
    <w:rPr>
      <w:b/>
      <w:sz w:val="24"/>
    </w:rPr>
  </w:style>
  <w:style w:type="paragraph" w:styleId="9">
    <w:name w:val="heading 8"/>
    <w:basedOn w:val="1"/>
    <w:next w:val="1"/>
    <w:link w:val="52"/>
    <w:qFormat/>
    <w:uiPriority w:val="0"/>
    <w:pPr>
      <w:keepNext/>
      <w:keepLines/>
      <w:widowControl w:val="0"/>
      <w:numPr>
        <w:ilvl w:val="7"/>
        <w:numId w:val="1"/>
      </w:numPr>
      <w:adjustRightInd w:val="0"/>
      <w:spacing w:before="240" w:after="64" w:line="320" w:lineRule="atLeast"/>
      <w:outlineLvl w:val="7"/>
    </w:pPr>
    <w:rPr>
      <w:rFonts w:ascii="Arial" w:hAnsi="Arial" w:eastAsia="黑体"/>
      <w:sz w:val="24"/>
    </w:rPr>
  </w:style>
  <w:style w:type="paragraph" w:styleId="10">
    <w:name w:val="heading 9"/>
    <w:basedOn w:val="1"/>
    <w:next w:val="1"/>
    <w:link w:val="53"/>
    <w:qFormat/>
    <w:uiPriority w:val="0"/>
    <w:pPr>
      <w:keepNext/>
      <w:keepLines/>
      <w:widowControl w:val="0"/>
      <w:numPr>
        <w:ilvl w:val="8"/>
        <w:numId w:val="1"/>
      </w:numPr>
      <w:adjustRightInd w:val="0"/>
      <w:spacing w:before="240" w:after="64" w:line="320" w:lineRule="atLeast"/>
      <w:outlineLvl w:val="8"/>
    </w:pPr>
    <w:rPr>
      <w:rFonts w:ascii="Arial" w:hAnsi="Arial" w:eastAsia="黑体"/>
      <w:sz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widowControl w:val="0"/>
      <w:ind w:left="2520" w:leftChars="1200"/>
      <w:jc w:val="both"/>
    </w:pPr>
    <w:rPr>
      <w:rFonts w:asciiTheme="minorHAnsi" w:hAnsiTheme="minorHAnsi" w:eastAsiaTheme="minorEastAsia" w:cstheme="minorBidi"/>
      <w:kern w:val="2"/>
      <w:szCs w:val="22"/>
    </w:rPr>
  </w:style>
  <w:style w:type="paragraph" w:styleId="12">
    <w:name w:val="Note Heading"/>
    <w:basedOn w:val="1"/>
    <w:next w:val="1"/>
    <w:link w:val="65"/>
    <w:qFormat/>
    <w:uiPriority w:val="99"/>
    <w:pPr>
      <w:widowControl w:val="0"/>
      <w:jc w:val="center"/>
    </w:pPr>
    <w:rPr>
      <w:kern w:val="2"/>
    </w:rPr>
  </w:style>
  <w:style w:type="paragraph" w:styleId="13">
    <w:name w:val="Normal Indent"/>
    <w:basedOn w:val="1"/>
    <w:qFormat/>
    <w:uiPriority w:val="0"/>
    <w:pPr>
      <w:widowControl w:val="0"/>
      <w:ind w:firstLine="420" w:firstLineChars="200"/>
      <w:jc w:val="both"/>
    </w:pPr>
    <w:rPr>
      <w:kern w:val="2"/>
    </w:rPr>
  </w:style>
  <w:style w:type="paragraph" w:styleId="14">
    <w:name w:val="Document Map"/>
    <w:basedOn w:val="1"/>
    <w:link w:val="66"/>
    <w:semiHidden/>
    <w:qFormat/>
    <w:uiPriority w:val="99"/>
    <w:pPr>
      <w:shd w:val="clear" w:color="auto" w:fill="000080"/>
    </w:pPr>
  </w:style>
  <w:style w:type="paragraph" w:styleId="15">
    <w:name w:val="toa heading"/>
    <w:basedOn w:val="1"/>
    <w:next w:val="1"/>
    <w:semiHidden/>
    <w:qFormat/>
    <w:uiPriority w:val="0"/>
    <w:pPr>
      <w:widowControl w:val="0"/>
      <w:spacing w:before="120"/>
      <w:jc w:val="both"/>
    </w:pPr>
    <w:rPr>
      <w:rFonts w:ascii="Arial" w:hAnsi="Arial"/>
      <w:b/>
      <w:bCs/>
      <w:kern w:val="2"/>
    </w:rPr>
  </w:style>
  <w:style w:type="paragraph" w:styleId="16">
    <w:name w:val="annotation text"/>
    <w:basedOn w:val="1"/>
    <w:link w:val="67"/>
    <w:qFormat/>
    <w:uiPriority w:val="0"/>
  </w:style>
  <w:style w:type="paragraph" w:styleId="17">
    <w:name w:val="Salutation"/>
    <w:basedOn w:val="1"/>
    <w:next w:val="1"/>
    <w:link w:val="64"/>
    <w:qFormat/>
    <w:uiPriority w:val="99"/>
    <w:pPr>
      <w:widowControl w:val="0"/>
      <w:jc w:val="both"/>
    </w:pPr>
    <w:rPr>
      <w:kern w:val="2"/>
    </w:rPr>
  </w:style>
  <w:style w:type="paragraph" w:styleId="18">
    <w:name w:val="List Bullet 3"/>
    <w:basedOn w:val="1"/>
    <w:qFormat/>
    <w:uiPriority w:val="0"/>
    <w:pPr>
      <w:widowControl w:val="0"/>
      <w:tabs>
        <w:tab w:val="left" w:pos="1200"/>
      </w:tabs>
      <w:jc w:val="both"/>
    </w:pPr>
    <w:rPr>
      <w:kern w:val="2"/>
    </w:rPr>
  </w:style>
  <w:style w:type="paragraph" w:styleId="19">
    <w:name w:val="Body Text"/>
    <w:basedOn w:val="1"/>
    <w:link w:val="76"/>
    <w:qFormat/>
    <w:uiPriority w:val="99"/>
    <w:pPr>
      <w:widowControl w:val="0"/>
      <w:spacing w:after="120"/>
      <w:jc w:val="both"/>
    </w:pPr>
    <w:rPr>
      <w:kern w:val="2"/>
    </w:rPr>
  </w:style>
  <w:style w:type="paragraph" w:styleId="20">
    <w:name w:val="toc 5"/>
    <w:basedOn w:val="1"/>
    <w:next w:val="1"/>
    <w:autoRedefine/>
    <w:unhideWhenUsed/>
    <w:qFormat/>
    <w:uiPriority w:val="39"/>
    <w:pPr>
      <w:widowControl w:val="0"/>
      <w:ind w:left="1680" w:leftChars="800"/>
      <w:jc w:val="both"/>
    </w:pPr>
    <w:rPr>
      <w:rFonts w:asciiTheme="minorHAnsi" w:hAnsiTheme="minorHAnsi" w:eastAsiaTheme="minorEastAsia" w:cstheme="minorBidi"/>
      <w:kern w:val="2"/>
      <w:szCs w:val="22"/>
    </w:rPr>
  </w:style>
  <w:style w:type="paragraph" w:styleId="21">
    <w:name w:val="toc 3"/>
    <w:basedOn w:val="1"/>
    <w:next w:val="1"/>
    <w:autoRedefine/>
    <w:unhideWhenUsed/>
    <w:qFormat/>
    <w:uiPriority w:val="39"/>
    <w:pPr>
      <w:spacing w:after="100" w:line="276" w:lineRule="auto"/>
      <w:ind w:left="440"/>
    </w:pPr>
    <w:rPr>
      <w:rFonts w:ascii="Calibri" w:hAnsi="Calibri"/>
      <w:sz w:val="22"/>
      <w:szCs w:val="22"/>
    </w:rPr>
  </w:style>
  <w:style w:type="paragraph" w:styleId="22">
    <w:name w:val="Plain Text"/>
    <w:basedOn w:val="1"/>
    <w:link w:val="69"/>
    <w:qFormat/>
    <w:uiPriority w:val="0"/>
    <w:pPr>
      <w:widowControl w:val="0"/>
      <w:jc w:val="both"/>
    </w:pPr>
    <w:rPr>
      <w:rFonts w:hint="eastAsia" w:hAnsi="Courier New"/>
      <w:kern w:val="2"/>
      <w:sz w:val="28"/>
    </w:rPr>
  </w:style>
  <w:style w:type="paragraph" w:styleId="23">
    <w:name w:val="toc 8"/>
    <w:basedOn w:val="1"/>
    <w:next w:val="1"/>
    <w:autoRedefine/>
    <w:unhideWhenUsed/>
    <w:qFormat/>
    <w:uiPriority w:val="39"/>
    <w:pPr>
      <w:widowControl w:val="0"/>
      <w:ind w:left="2940" w:leftChars="1400"/>
      <w:jc w:val="both"/>
    </w:pPr>
    <w:rPr>
      <w:rFonts w:asciiTheme="minorHAnsi" w:hAnsiTheme="minorHAnsi" w:eastAsiaTheme="minorEastAsia" w:cstheme="minorBidi"/>
      <w:kern w:val="2"/>
      <w:szCs w:val="22"/>
    </w:rPr>
  </w:style>
  <w:style w:type="paragraph" w:styleId="24">
    <w:name w:val="Date"/>
    <w:basedOn w:val="1"/>
    <w:next w:val="1"/>
    <w:link w:val="63"/>
    <w:unhideWhenUsed/>
    <w:qFormat/>
    <w:uiPriority w:val="99"/>
    <w:pPr>
      <w:ind w:left="100" w:leftChars="2500"/>
    </w:pPr>
  </w:style>
  <w:style w:type="paragraph" w:styleId="25">
    <w:name w:val="endnote text"/>
    <w:basedOn w:val="1"/>
    <w:link w:val="84"/>
    <w:semiHidden/>
    <w:unhideWhenUsed/>
    <w:qFormat/>
    <w:uiPriority w:val="99"/>
    <w:pPr>
      <w:snapToGrid w:val="0"/>
    </w:pPr>
    <w:rPr>
      <w:rFonts w:cs="宋体"/>
      <w:szCs w:val="24"/>
    </w:rPr>
  </w:style>
  <w:style w:type="paragraph" w:styleId="26">
    <w:name w:val="Balloon Text"/>
    <w:basedOn w:val="1"/>
    <w:link w:val="68"/>
    <w:qFormat/>
    <w:uiPriority w:val="99"/>
    <w:rPr>
      <w:sz w:val="18"/>
      <w:szCs w:val="18"/>
    </w:rPr>
  </w:style>
  <w:style w:type="paragraph" w:styleId="27">
    <w:name w:val="footer"/>
    <w:basedOn w:val="1"/>
    <w:link w:val="59"/>
    <w:qFormat/>
    <w:uiPriority w:val="99"/>
    <w:pPr>
      <w:tabs>
        <w:tab w:val="center" w:pos="4153"/>
        <w:tab w:val="right" w:pos="8306"/>
      </w:tabs>
      <w:snapToGrid w:val="0"/>
    </w:pPr>
    <w:rPr>
      <w:sz w:val="18"/>
      <w:szCs w:val="18"/>
    </w:rPr>
  </w:style>
  <w:style w:type="paragraph" w:styleId="28">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style>
  <w:style w:type="paragraph" w:styleId="30">
    <w:name w:val="toc 4"/>
    <w:basedOn w:val="1"/>
    <w:next w:val="1"/>
    <w:autoRedefine/>
    <w:unhideWhenUsed/>
    <w:qFormat/>
    <w:uiPriority w:val="39"/>
    <w:pPr>
      <w:widowControl w:val="0"/>
      <w:ind w:left="1260" w:leftChars="600"/>
      <w:jc w:val="both"/>
    </w:pPr>
    <w:rPr>
      <w:rFonts w:asciiTheme="minorHAnsi" w:hAnsiTheme="minorHAnsi" w:eastAsiaTheme="minorEastAsia" w:cstheme="minorBidi"/>
      <w:kern w:val="2"/>
      <w:szCs w:val="22"/>
    </w:rPr>
  </w:style>
  <w:style w:type="paragraph" w:styleId="31">
    <w:name w:val="toc 6"/>
    <w:basedOn w:val="1"/>
    <w:next w:val="1"/>
    <w:autoRedefine/>
    <w:unhideWhenUsed/>
    <w:qFormat/>
    <w:uiPriority w:val="39"/>
    <w:pPr>
      <w:widowControl w:val="0"/>
      <w:ind w:left="2100" w:leftChars="1000"/>
      <w:jc w:val="both"/>
    </w:pPr>
    <w:rPr>
      <w:rFonts w:asciiTheme="minorHAnsi" w:hAnsiTheme="minorHAnsi" w:eastAsiaTheme="minorEastAsia" w:cstheme="minorBidi"/>
      <w:kern w:val="2"/>
      <w:szCs w:val="22"/>
    </w:rPr>
  </w:style>
  <w:style w:type="paragraph" w:styleId="32">
    <w:name w:val="toc 2"/>
    <w:basedOn w:val="1"/>
    <w:next w:val="1"/>
    <w:autoRedefine/>
    <w:unhideWhenUsed/>
    <w:qFormat/>
    <w:uiPriority w:val="39"/>
    <w:pPr>
      <w:tabs>
        <w:tab w:val="right" w:leader="dot" w:pos="8296"/>
      </w:tabs>
      <w:ind w:left="420" w:leftChars="200"/>
      <w:jc w:val="center"/>
    </w:pPr>
    <w:rPr>
      <w:b/>
      <w:sz w:val="32"/>
      <w:szCs w:val="32"/>
    </w:rPr>
  </w:style>
  <w:style w:type="paragraph" w:styleId="33">
    <w:name w:val="toc 9"/>
    <w:basedOn w:val="1"/>
    <w:next w:val="1"/>
    <w:autoRedefine/>
    <w:unhideWhenUsed/>
    <w:qFormat/>
    <w:uiPriority w:val="39"/>
    <w:pPr>
      <w:widowControl w:val="0"/>
      <w:ind w:left="3360" w:leftChars="1600"/>
      <w:jc w:val="both"/>
    </w:pPr>
    <w:rPr>
      <w:rFonts w:asciiTheme="minorHAnsi" w:hAnsiTheme="minorHAnsi" w:eastAsiaTheme="minorEastAsia" w:cstheme="minorBidi"/>
      <w:kern w:val="2"/>
      <w:szCs w:val="22"/>
    </w:rPr>
  </w:style>
  <w:style w:type="paragraph" w:styleId="34">
    <w:name w:val="Normal (Web)"/>
    <w:basedOn w:val="1"/>
    <w:qFormat/>
    <w:uiPriority w:val="99"/>
    <w:pPr>
      <w:spacing w:before="100" w:beforeAutospacing="1" w:after="100" w:afterAutospacing="1"/>
    </w:pPr>
    <w:rPr>
      <w:rFonts w:cs="宋体"/>
      <w:sz w:val="24"/>
      <w:szCs w:val="24"/>
    </w:rPr>
  </w:style>
  <w:style w:type="paragraph" w:styleId="35">
    <w:name w:val="index 1"/>
    <w:basedOn w:val="1"/>
    <w:next w:val="1"/>
    <w:autoRedefine/>
    <w:semiHidden/>
    <w:qFormat/>
    <w:uiPriority w:val="0"/>
  </w:style>
  <w:style w:type="paragraph" w:styleId="36">
    <w:name w:val="Title"/>
    <w:basedOn w:val="1"/>
    <w:next w:val="1"/>
    <w:link w:val="82"/>
    <w:qFormat/>
    <w:uiPriority w:val="10"/>
    <w:pPr>
      <w:widowControl w:val="0"/>
      <w:spacing w:before="240" w:after="60"/>
      <w:jc w:val="center"/>
      <w:outlineLvl w:val="0"/>
    </w:pPr>
    <w:rPr>
      <w:rFonts w:asciiTheme="majorHAnsi" w:hAnsiTheme="majorHAnsi" w:cstheme="majorBidi"/>
      <w:b/>
      <w:bCs/>
      <w:kern w:val="2"/>
      <w:sz w:val="32"/>
      <w:szCs w:val="32"/>
    </w:rPr>
  </w:style>
  <w:style w:type="paragraph" w:styleId="37">
    <w:name w:val="annotation subject"/>
    <w:basedOn w:val="16"/>
    <w:next w:val="16"/>
    <w:link w:val="70"/>
    <w:qFormat/>
    <w:uiPriority w:val="99"/>
    <w:rPr>
      <w:b/>
      <w:bCs/>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bCs/>
    </w:rPr>
  </w:style>
  <w:style w:type="character" w:styleId="42">
    <w:name w:val="endnote reference"/>
    <w:basedOn w:val="40"/>
    <w:semiHidden/>
    <w:unhideWhenUsed/>
    <w:qFormat/>
    <w:uiPriority w:val="99"/>
    <w:rPr>
      <w:vertAlign w:val="superscript"/>
    </w:rPr>
  </w:style>
  <w:style w:type="character" w:styleId="43">
    <w:name w:val="Hyperlink"/>
    <w:basedOn w:val="40"/>
    <w:unhideWhenUsed/>
    <w:qFormat/>
    <w:uiPriority w:val="99"/>
    <w:rPr>
      <w:color w:val="0000FF" w:themeColor="hyperlink"/>
      <w:u w:val="single"/>
      <w14:textFill>
        <w14:solidFill>
          <w14:schemeClr w14:val="hlink"/>
        </w14:solidFill>
      </w14:textFill>
    </w:rPr>
  </w:style>
  <w:style w:type="character" w:styleId="44">
    <w:name w:val="annotation reference"/>
    <w:basedOn w:val="40"/>
    <w:qFormat/>
    <w:uiPriority w:val="99"/>
    <w:rPr>
      <w:sz w:val="21"/>
      <w:szCs w:val="21"/>
    </w:rPr>
  </w:style>
  <w:style w:type="character" w:customStyle="1" w:styleId="45">
    <w:name w:val="标题 1 字符"/>
    <w:basedOn w:val="40"/>
    <w:link w:val="2"/>
    <w:qFormat/>
    <w:uiPriority w:val="99"/>
    <w:rPr>
      <w:rFonts w:ascii="宋体" w:hAnsi="宋体"/>
      <w:b/>
      <w:color w:val="000000"/>
      <w:kern w:val="44"/>
      <w:sz w:val="44"/>
    </w:rPr>
  </w:style>
  <w:style w:type="character" w:customStyle="1" w:styleId="46">
    <w:name w:val="标题 2 字符"/>
    <w:basedOn w:val="40"/>
    <w:link w:val="3"/>
    <w:qFormat/>
    <w:uiPriority w:val="0"/>
    <w:rPr>
      <w:rFonts w:ascii="宋体" w:hAnsi="宋体"/>
      <w:b/>
      <w:bCs/>
      <w:color w:val="000000"/>
      <w:sz w:val="21"/>
    </w:rPr>
  </w:style>
  <w:style w:type="character" w:customStyle="1" w:styleId="47">
    <w:name w:val="标题 3 字符"/>
    <w:basedOn w:val="40"/>
    <w:link w:val="4"/>
    <w:qFormat/>
    <w:uiPriority w:val="9"/>
    <w:rPr>
      <w:rFonts w:ascii="宋体" w:hAnsi="宋体"/>
      <w:color w:val="000000"/>
      <w:sz w:val="21"/>
    </w:rPr>
  </w:style>
  <w:style w:type="character" w:customStyle="1" w:styleId="48">
    <w:name w:val="标题 4 字符"/>
    <w:basedOn w:val="40"/>
    <w:link w:val="5"/>
    <w:qFormat/>
    <w:uiPriority w:val="9"/>
    <w:rPr>
      <w:rFonts w:ascii="Arial" w:hAnsi="Arial" w:eastAsia="黑体"/>
      <w:b/>
      <w:color w:val="000000"/>
      <w:sz w:val="28"/>
    </w:rPr>
  </w:style>
  <w:style w:type="character" w:customStyle="1" w:styleId="49">
    <w:name w:val="标题 5 字符"/>
    <w:basedOn w:val="40"/>
    <w:link w:val="6"/>
    <w:qFormat/>
    <w:uiPriority w:val="9"/>
    <w:rPr>
      <w:rFonts w:ascii="宋体" w:hAnsi="宋体"/>
      <w:b/>
      <w:color w:val="000000"/>
      <w:sz w:val="28"/>
    </w:rPr>
  </w:style>
  <w:style w:type="character" w:customStyle="1" w:styleId="50">
    <w:name w:val="标题 6 字符"/>
    <w:basedOn w:val="40"/>
    <w:link w:val="7"/>
    <w:qFormat/>
    <w:uiPriority w:val="9"/>
    <w:rPr>
      <w:rFonts w:ascii="Arial" w:hAnsi="Arial" w:eastAsia="黑体"/>
      <w:b/>
      <w:color w:val="000000"/>
      <w:sz w:val="24"/>
    </w:rPr>
  </w:style>
  <w:style w:type="character" w:customStyle="1" w:styleId="51">
    <w:name w:val="标题 7 字符"/>
    <w:basedOn w:val="40"/>
    <w:link w:val="8"/>
    <w:qFormat/>
    <w:uiPriority w:val="9"/>
    <w:rPr>
      <w:rFonts w:ascii="宋体" w:hAnsi="宋体"/>
      <w:b/>
      <w:color w:val="000000"/>
      <w:sz w:val="24"/>
    </w:rPr>
  </w:style>
  <w:style w:type="character" w:customStyle="1" w:styleId="52">
    <w:name w:val="标题 8 字符"/>
    <w:basedOn w:val="40"/>
    <w:link w:val="9"/>
    <w:qFormat/>
    <w:uiPriority w:val="0"/>
    <w:rPr>
      <w:rFonts w:ascii="Arial" w:hAnsi="Arial" w:eastAsia="黑体"/>
      <w:color w:val="000000"/>
      <w:sz w:val="24"/>
    </w:rPr>
  </w:style>
  <w:style w:type="character" w:customStyle="1" w:styleId="53">
    <w:name w:val="标题 9 字符"/>
    <w:basedOn w:val="40"/>
    <w:link w:val="10"/>
    <w:qFormat/>
    <w:uiPriority w:val="0"/>
    <w:rPr>
      <w:rFonts w:ascii="Arial" w:hAnsi="Arial" w:eastAsia="黑体"/>
      <w:color w:val="000000"/>
      <w:sz w:val="24"/>
    </w:rPr>
  </w:style>
  <w:style w:type="paragraph" w:customStyle="1" w:styleId="54">
    <w:name w:val="Char Char Char Char Char Char Char Char Char"/>
    <w:basedOn w:val="1"/>
    <w:autoRedefine/>
    <w:qFormat/>
    <w:uiPriority w:val="0"/>
    <w:pPr>
      <w:widowControl w:val="0"/>
      <w:jc w:val="both"/>
    </w:pPr>
    <w:rPr>
      <w:kern w:val="2"/>
      <w:sz w:val="24"/>
      <w:szCs w:val="24"/>
    </w:rPr>
  </w:style>
  <w:style w:type="paragraph" w:customStyle="1" w:styleId="55">
    <w:name w:val="Char Char Char Char Char Char Char Char Char1"/>
    <w:basedOn w:val="1"/>
    <w:autoRedefine/>
    <w:qFormat/>
    <w:uiPriority w:val="0"/>
    <w:pPr>
      <w:widowControl w:val="0"/>
      <w:tabs>
        <w:tab w:val="left" w:pos="315"/>
      </w:tabs>
      <w:ind w:left="315" w:hanging="315"/>
      <w:jc w:val="both"/>
    </w:pPr>
    <w:rPr>
      <w:kern w:val="2"/>
      <w:sz w:val="24"/>
      <w:szCs w:val="24"/>
    </w:rPr>
  </w:style>
  <w:style w:type="paragraph" w:customStyle="1" w:styleId="56">
    <w:name w:val="Char Char Char Char Char Char1 Char Char Char"/>
    <w:basedOn w:val="1"/>
    <w:qFormat/>
    <w:uiPriority w:val="0"/>
    <w:pPr>
      <w:widowControl w:val="0"/>
      <w:autoSpaceDE w:val="0"/>
      <w:autoSpaceDN w:val="0"/>
      <w:adjustRightInd w:val="0"/>
      <w:textAlignment w:val="baseline"/>
    </w:pPr>
    <w:rPr>
      <w:kern w:val="2"/>
      <w:sz w:val="30"/>
    </w:rPr>
  </w:style>
  <w:style w:type="paragraph" w:customStyle="1" w:styleId="57">
    <w:name w:val="xl61"/>
    <w:basedOn w:val="1"/>
    <w:qFormat/>
    <w:uiPriority w:val="99"/>
    <w:pPr>
      <w:spacing w:before="100" w:after="100"/>
      <w:jc w:val="right"/>
    </w:pPr>
    <w:rPr>
      <w:rFonts w:ascii="Arial Unicode MS" w:eastAsia="Arial Unicode MS"/>
      <w:sz w:val="18"/>
      <w:szCs w:val="18"/>
    </w:rPr>
  </w:style>
  <w:style w:type="character" w:customStyle="1" w:styleId="58">
    <w:name w:val="页眉 字符"/>
    <w:basedOn w:val="40"/>
    <w:link w:val="28"/>
    <w:qFormat/>
    <w:uiPriority w:val="99"/>
    <w:rPr>
      <w:rFonts w:ascii="宋体" w:hAnsi="宋体"/>
      <w:color w:val="000000"/>
      <w:sz w:val="18"/>
      <w:szCs w:val="18"/>
    </w:rPr>
  </w:style>
  <w:style w:type="character" w:customStyle="1" w:styleId="59">
    <w:name w:val="页脚 字符"/>
    <w:basedOn w:val="40"/>
    <w:link w:val="27"/>
    <w:qFormat/>
    <w:uiPriority w:val="99"/>
    <w:rPr>
      <w:rFonts w:ascii="宋体" w:hAnsi="宋体"/>
      <w:color w:val="000000"/>
      <w:sz w:val="18"/>
      <w:szCs w:val="18"/>
    </w:rPr>
  </w:style>
  <w:style w:type="character" w:customStyle="1" w:styleId="60">
    <w:name w:val="style61"/>
    <w:basedOn w:val="40"/>
    <w:qFormat/>
    <w:uiPriority w:val="0"/>
    <w:rPr>
      <w:b/>
      <w:bCs/>
      <w:sz w:val="24"/>
      <w:szCs w:val="24"/>
    </w:rPr>
  </w:style>
  <w:style w:type="character" w:styleId="61">
    <w:name w:val="Placeholder Text"/>
    <w:basedOn w:val="40"/>
    <w:semiHidden/>
    <w:qFormat/>
    <w:uiPriority w:val="99"/>
    <w:rPr>
      <w:color w:val="auto"/>
    </w:rPr>
  </w:style>
  <w:style w:type="paragraph" w:styleId="62">
    <w:name w:val="List Paragraph"/>
    <w:basedOn w:val="1"/>
    <w:qFormat/>
    <w:uiPriority w:val="99"/>
    <w:pPr>
      <w:ind w:firstLine="420" w:firstLineChars="200"/>
    </w:pPr>
  </w:style>
  <w:style w:type="character" w:customStyle="1" w:styleId="63">
    <w:name w:val="日期 字符"/>
    <w:basedOn w:val="40"/>
    <w:link w:val="24"/>
    <w:qFormat/>
    <w:uiPriority w:val="99"/>
    <w:rPr>
      <w:rFonts w:ascii="宋体" w:hAnsi="宋体"/>
      <w:color w:val="000000"/>
      <w:sz w:val="21"/>
    </w:rPr>
  </w:style>
  <w:style w:type="character" w:customStyle="1" w:styleId="64">
    <w:name w:val="称呼 字符"/>
    <w:basedOn w:val="40"/>
    <w:link w:val="17"/>
    <w:qFormat/>
    <w:uiPriority w:val="99"/>
    <w:rPr>
      <w:rFonts w:ascii="Times New Roman" w:hAnsi="Times New Roman"/>
      <w:kern w:val="2"/>
      <w:sz w:val="21"/>
      <w:szCs w:val="21"/>
    </w:rPr>
  </w:style>
  <w:style w:type="character" w:customStyle="1" w:styleId="65">
    <w:name w:val="注释标题 字符"/>
    <w:basedOn w:val="40"/>
    <w:link w:val="12"/>
    <w:qFormat/>
    <w:uiPriority w:val="99"/>
    <w:rPr>
      <w:rFonts w:ascii="Times New Roman" w:hAnsi="Times New Roman"/>
      <w:kern w:val="2"/>
      <w:sz w:val="21"/>
      <w:szCs w:val="21"/>
    </w:rPr>
  </w:style>
  <w:style w:type="character" w:customStyle="1" w:styleId="66">
    <w:name w:val="文档结构图 字符"/>
    <w:basedOn w:val="40"/>
    <w:link w:val="14"/>
    <w:semiHidden/>
    <w:qFormat/>
    <w:uiPriority w:val="99"/>
    <w:rPr>
      <w:rFonts w:ascii="宋体" w:hAnsi="宋体"/>
      <w:color w:val="000000"/>
      <w:sz w:val="21"/>
      <w:shd w:val="clear" w:color="auto" w:fill="000080"/>
    </w:rPr>
  </w:style>
  <w:style w:type="character" w:customStyle="1" w:styleId="67">
    <w:name w:val="批注文字 字符"/>
    <w:basedOn w:val="40"/>
    <w:link w:val="16"/>
    <w:qFormat/>
    <w:uiPriority w:val="0"/>
    <w:rPr>
      <w:rFonts w:ascii="宋体" w:hAnsi="宋体"/>
      <w:color w:val="000000"/>
      <w:sz w:val="21"/>
    </w:rPr>
  </w:style>
  <w:style w:type="character" w:customStyle="1" w:styleId="68">
    <w:name w:val="批注框文本 字符"/>
    <w:basedOn w:val="40"/>
    <w:link w:val="26"/>
    <w:qFormat/>
    <w:uiPriority w:val="99"/>
    <w:rPr>
      <w:rFonts w:ascii="宋体" w:hAnsi="宋体"/>
      <w:color w:val="000000"/>
      <w:sz w:val="18"/>
      <w:szCs w:val="18"/>
    </w:rPr>
  </w:style>
  <w:style w:type="character" w:customStyle="1" w:styleId="69">
    <w:name w:val="纯文本 字符"/>
    <w:basedOn w:val="40"/>
    <w:link w:val="22"/>
    <w:qFormat/>
    <w:uiPriority w:val="0"/>
    <w:rPr>
      <w:rFonts w:ascii="宋体" w:hAnsi="Courier New"/>
      <w:color w:val="000000"/>
      <w:kern w:val="2"/>
      <w:sz w:val="28"/>
    </w:rPr>
  </w:style>
  <w:style w:type="character" w:customStyle="1" w:styleId="70">
    <w:name w:val="批注主题 字符"/>
    <w:basedOn w:val="67"/>
    <w:link w:val="37"/>
    <w:qFormat/>
    <w:uiPriority w:val="99"/>
    <w:rPr>
      <w:rFonts w:ascii="宋体" w:hAnsi="宋体"/>
      <w:b/>
      <w:bCs/>
      <w:color w:val="000000"/>
      <w:sz w:val="21"/>
    </w:rPr>
  </w:style>
  <w:style w:type="character" w:customStyle="1" w:styleId="71">
    <w:name w:val="标题 3 Char1"/>
    <w:basedOn w:val="40"/>
    <w:qFormat/>
    <w:uiPriority w:val="9"/>
    <w:rPr>
      <w:b/>
      <w:bCs/>
      <w:kern w:val="2"/>
      <w:sz w:val="21"/>
      <w:szCs w:val="32"/>
    </w:rPr>
  </w:style>
  <w:style w:type="character" w:customStyle="1" w:styleId="72">
    <w:name w:val="标题 4 Char1"/>
    <w:basedOn w:val="40"/>
    <w:qFormat/>
    <w:uiPriority w:val="9"/>
    <w:rPr>
      <w:rFonts w:ascii="Cambria" w:hAnsi="Cambria"/>
      <w:b/>
      <w:bCs/>
      <w:kern w:val="2"/>
      <w:sz w:val="21"/>
      <w:szCs w:val="28"/>
    </w:rPr>
  </w:style>
  <w:style w:type="paragraph" w:customStyle="1" w:styleId="73">
    <w:name w:val="TOC 标题1"/>
    <w:basedOn w:val="2"/>
    <w:next w:val="1"/>
    <w:qFormat/>
    <w:uiPriority w:val="39"/>
    <w:pPr>
      <w:widowControl/>
      <w:adjustRightInd/>
      <w:spacing w:before="480" w:line="276" w:lineRule="auto"/>
      <w:jc w:val="center"/>
      <w:outlineLvl w:val="9"/>
    </w:pPr>
    <w:rPr>
      <w:rFonts w:ascii="Cambria" w:hAnsi="Cambria"/>
      <w:bCs/>
      <w:color w:val="365F91"/>
      <w:kern w:val="0"/>
      <w:sz w:val="28"/>
      <w:szCs w:val="28"/>
    </w:rPr>
  </w:style>
  <w:style w:type="character" w:customStyle="1" w:styleId="74">
    <w:name w:val="notnullcss1"/>
    <w:basedOn w:val="40"/>
    <w:qFormat/>
    <w:uiPriority w:val="99"/>
    <w:rPr>
      <w:rFonts w:eastAsia="宋体" w:cs="Times New Roman"/>
      <w:color w:val="FF0000"/>
      <w:kern w:val="2"/>
      <w:sz w:val="24"/>
      <w:szCs w:val="24"/>
      <w:lang w:val="en-US" w:eastAsia="zh-CN" w:bidi="ar-SA"/>
    </w:rPr>
  </w:style>
  <w:style w:type="character" w:customStyle="1" w:styleId="75">
    <w:name w:val="headline-content2"/>
    <w:basedOn w:val="40"/>
    <w:qFormat/>
    <w:uiPriority w:val="0"/>
    <w:rPr>
      <w:rFonts w:eastAsia="宋体" w:cs="Times New Roman"/>
      <w:kern w:val="2"/>
      <w:sz w:val="24"/>
      <w:szCs w:val="24"/>
      <w:lang w:val="en-US" w:eastAsia="zh-CN" w:bidi="ar-SA"/>
    </w:rPr>
  </w:style>
  <w:style w:type="character" w:customStyle="1" w:styleId="76">
    <w:name w:val="正文文本 字符"/>
    <w:basedOn w:val="40"/>
    <w:link w:val="19"/>
    <w:qFormat/>
    <w:uiPriority w:val="99"/>
    <w:rPr>
      <w:rFonts w:ascii="Times New Roman" w:hAnsi="Times New Roman"/>
      <w:kern w:val="2"/>
      <w:sz w:val="21"/>
      <w:szCs w:val="21"/>
    </w:rPr>
  </w:style>
  <w:style w:type="paragraph" w:customStyle="1" w:styleId="77">
    <w:name w:val="write2"/>
    <w:basedOn w:val="1"/>
    <w:qFormat/>
    <w:uiPriority w:val="99"/>
    <w:pPr>
      <w:tabs>
        <w:tab w:val="left" w:pos="709"/>
      </w:tabs>
      <w:overflowPunct w:val="0"/>
      <w:autoSpaceDE w:val="0"/>
      <w:autoSpaceDN w:val="0"/>
      <w:adjustRightInd w:val="0"/>
      <w:jc w:val="both"/>
      <w:textAlignment w:val="baseline"/>
    </w:pPr>
    <w:rPr>
      <w:rFonts w:ascii="Helvetica-Narrow" w:hAnsi="Helvetica-Narrow"/>
      <w:szCs w:val="24"/>
      <w:lang w:val="en-AU"/>
    </w:rPr>
  </w:style>
  <w:style w:type="paragraph" w:customStyle="1" w:styleId="78">
    <w:name w:val="标题5"/>
    <w:basedOn w:val="1"/>
    <w:qFormat/>
    <w:uiPriority w:val="0"/>
    <w:pPr>
      <w:keepNext/>
      <w:keepLines/>
      <w:widowControl w:val="0"/>
      <w:spacing w:before="60" w:after="60"/>
      <w:ind w:hanging="420" w:hangingChars="200"/>
      <w:jc w:val="both"/>
      <w:outlineLvl w:val="4"/>
    </w:pPr>
    <w:rPr>
      <w:b/>
      <w:bCs/>
      <w:kern w:val="2"/>
    </w:rPr>
  </w:style>
  <w:style w:type="paragraph" w:customStyle="1" w:styleId="79">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80">
    <w:name w:val="正文的样式 Char"/>
    <w:basedOn w:val="40"/>
    <w:link w:val="81"/>
    <w:qFormat/>
    <w:uiPriority w:val="0"/>
    <w:rPr>
      <w:kern w:val="2"/>
      <w:sz w:val="21"/>
      <w:szCs w:val="24"/>
    </w:rPr>
  </w:style>
  <w:style w:type="paragraph" w:customStyle="1" w:styleId="81">
    <w:name w:val="正文的样式"/>
    <w:basedOn w:val="1"/>
    <w:link w:val="80"/>
    <w:qFormat/>
    <w:uiPriority w:val="0"/>
    <w:pPr>
      <w:widowControl w:val="0"/>
      <w:spacing w:before="100" w:after="100"/>
      <w:jc w:val="both"/>
    </w:pPr>
    <w:rPr>
      <w:rFonts w:ascii="Calibri" w:hAnsi="Calibri"/>
      <w:kern w:val="2"/>
      <w:szCs w:val="24"/>
    </w:rPr>
  </w:style>
  <w:style w:type="character" w:customStyle="1" w:styleId="82">
    <w:name w:val="标题 字符"/>
    <w:basedOn w:val="40"/>
    <w:link w:val="36"/>
    <w:qFormat/>
    <w:uiPriority w:val="10"/>
    <w:rPr>
      <w:rFonts w:asciiTheme="majorHAnsi" w:hAnsiTheme="majorHAnsi" w:cstheme="majorBidi"/>
      <w:b/>
      <w:bCs/>
      <w:kern w:val="2"/>
      <w:sz w:val="32"/>
      <w:szCs w:val="32"/>
    </w:rPr>
  </w:style>
  <w:style w:type="paragraph" w:styleId="8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84">
    <w:name w:val="尾注文本 字符"/>
    <w:basedOn w:val="40"/>
    <w:link w:val="25"/>
    <w:semiHidden/>
    <w:qFormat/>
    <w:uiPriority w:val="99"/>
    <w:rPr>
      <w:rFonts w:ascii="宋体" w:hAnsi="宋体" w:cs="宋体"/>
      <w:sz w:val="21"/>
      <w:szCs w:val="24"/>
    </w:rPr>
  </w:style>
  <w:style w:type="character" w:customStyle="1" w:styleId="85">
    <w:name w:val="批注主题 Char1"/>
    <w:basedOn w:val="67"/>
    <w:semiHidden/>
    <w:qFormat/>
    <w:uiPriority w:val="99"/>
    <w:rPr>
      <w:rFonts w:ascii="Times New Roman" w:hAnsi="Times New Roman" w:eastAsia="宋体" w:cs="Times New Roman"/>
      <w:b/>
      <w:bCs/>
      <w:color w:val="000000"/>
      <w:sz w:val="21"/>
      <w:szCs w:val="21"/>
    </w:rPr>
  </w:style>
  <w:style w:type="paragraph" w:customStyle="1" w:styleId="86">
    <w:name w:val="标题  3"/>
    <w:basedOn w:val="1"/>
    <w:next w:val="1"/>
    <w:link w:val="87"/>
    <w:qFormat/>
    <w:uiPriority w:val="0"/>
    <w:pPr>
      <w:keepNext/>
      <w:keepLines/>
      <w:widowControl w:val="0"/>
      <w:spacing w:before="100" w:beforeAutospacing="1" w:after="100" w:afterAutospacing="1" w:line="415" w:lineRule="auto"/>
      <w:jc w:val="both"/>
    </w:pPr>
    <w:rPr>
      <w:b/>
      <w:kern w:val="2"/>
      <w:szCs w:val="24"/>
    </w:rPr>
  </w:style>
  <w:style w:type="character" w:customStyle="1" w:styleId="87">
    <w:name w:val="标题  3 Char"/>
    <w:basedOn w:val="40"/>
    <w:link w:val="86"/>
    <w:qFormat/>
    <w:uiPriority w:val="0"/>
    <w:rPr>
      <w:rFonts w:ascii="Times New Roman" w:hAnsi="Times New Roman"/>
      <w:b/>
      <w:kern w:val="2"/>
      <w:sz w:val="21"/>
      <w:szCs w:val="24"/>
    </w:rPr>
  </w:style>
  <w:style w:type="character" w:customStyle="1" w:styleId="88">
    <w:name w:val="批注主题 字符1"/>
    <w:basedOn w:val="67"/>
    <w:semiHidden/>
    <w:qFormat/>
    <w:uiPriority w:val="99"/>
    <w:rPr>
      <w:rFonts w:ascii="Times New Roman" w:hAnsi="Times New Roman" w:eastAsia="宋体" w:cs="Times New Roman"/>
      <w:b/>
      <w:bCs/>
      <w:color w:val="000000"/>
      <w:sz w:val="21"/>
      <w:szCs w:val="21"/>
    </w:rPr>
  </w:style>
  <w:style w:type="character" w:customStyle="1" w:styleId="89">
    <w:name w:val="span_"/>
    <w:basedOn w:val="40"/>
    <w:qFormat/>
    <w:uiPriority w:val="0"/>
  </w:style>
  <w:style w:type="paragraph" w:customStyle="1" w:styleId="90">
    <w:name w:val="4"/>
    <w:basedOn w:val="1"/>
    <w:next w:val="62"/>
    <w:qFormat/>
    <w:uiPriority w:val="34"/>
    <w:pPr>
      <w:widowControl w:val="0"/>
      <w:ind w:firstLine="420" w:firstLineChars="200"/>
      <w:jc w:val="both"/>
    </w:pPr>
    <w:rPr>
      <w:rFonts w:ascii="Calibri" w:hAnsi="Calibri"/>
      <w:kern w:val="2"/>
      <w:szCs w:val="22"/>
    </w:rPr>
  </w:style>
  <w:style w:type="table" w:customStyle="1" w:styleId="91">
    <w:name w:val="无格式表格 21"/>
    <w:basedOn w:val="3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92">
    <w:name w:val="3"/>
    <w:basedOn w:val="1"/>
    <w:next w:val="62"/>
    <w:qFormat/>
    <w:uiPriority w:val="34"/>
    <w:pPr>
      <w:widowControl w:val="0"/>
      <w:ind w:firstLine="420" w:firstLineChars="200"/>
      <w:jc w:val="both"/>
    </w:pPr>
    <w:rPr>
      <w:rFonts w:ascii="Calibri" w:hAnsi="Calibri"/>
      <w:kern w:val="2"/>
      <w:szCs w:val="22"/>
    </w:rPr>
  </w:style>
  <w:style w:type="paragraph" w:customStyle="1" w:styleId="93">
    <w:name w:val="2"/>
    <w:basedOn w:val="1"/>
    <w:next w:val="62"/>
    <w:qFormat/>
    <w:uiPriority w:val="34"/>
    <w:pPr>
      <w:widowControl w:val="0"/>
      <w:ind w:firstLine="420" w:firstLineChars="200"/>
      <w:jc w:val="both"/>
    </w:pPr>
    <w:rPr>
      <w:rFonts w:ascii="Calibri" w:hAnsi="Calibri"/>
      <w:kern w:val="2"/>
      <w:szCs w:val="22"/>
    </w:rPr>
  </w:style>
  <w:style w:type="paragraph" w:customStyle="1" w:styleId="94">
    <w:name w:val="1"/>
    <w:basedOn w:val="1"/>
    <w:next w:val="62"/>
    <w:qFormat/>
    <w:uiPriority w:val="34"/>
    <w:pPr>
      <w:widowControl w:val="0"/>
      <w:ind w:firstLine="420" w:firstLineChars="200"/>
      <w:jc w:val="both"/>
    </w:pPr>
    <w:rPr>
      <w:rFonts w:ascii="Calibri" w:hAnsi="Calibri"/>
      <w:kern w:val="2"/>
      <w:szCs w:val="22"/>
    </w:rPr>
  </w:style>
  <w:style w:type="paragraph" w:customStyle="1" w:styleId="95">
    <w:name w:val="Table Paragraph"/>
    <w:basedOn w:val="1"/>
    <w:qFormat/>
    <w:uiPriority w:val="1"/>
    <w:pPr>
      <w:widowControl w:val="0"/>
      <w:autoSpaceDE w:val="0"/>
      <w:autoSpaceDN w:val="0"/>
      <w:spacing w:after="160" w:line="259" w:lineRule="auto"/>
    </w:pPr>
    <w:rPr>
      <w:rFonts w:ascii="Noto Sans CJK JP Regular" w:hAnsi="Noto Sans CJK JP Regular" w:eastAsia="Noto Sans CJK JP Regular" w:cs="Noto Sans CJK JP Regular"/>
      <w:sz w:val="22"/>
      <w:szCs w:val="22"/>
      <w:lang w:eastAsia="en-US"/>
    </w:rPr>
  </w:style>
  <w:style w:type="character" w:customStyle="1" w:styleId="96">
    <w:name w:val="批注文字 Char"/>
    <w:qFormat/>
    <w:uiPriority w:val="99"/>
    <w:rPr>
      <w:rFonts w:ascii="宋体" w:hAnsi="宋体"/>
      <w:color w:val="000000"/>
      <w:sz w:val="21"/>
    </w:rPr>
  </w:style>
  <w:style w:type="character" w:customStyle="1" w:styleId="97">
    <w:name w:val="标题 2 字符1"/>
    <w:qFormat/>
    <w:uiPriority w:val="0"/>
    <w:rPr>
      <w:rFonts w:ascii="宋体" w:hAnsi="宋体"/>
      <w:color w:val="000000"/>
      <w:sz w:val="21"/>
      <w:szCs w:val="21"/>
    </w:rPr>
  </w:style>
  <w:style w:type="character" w:customStyle="1" w:styleId="98">
    <w:name w:val="批注文字 Char1"/>
    <w:qFormat/>
    <w:uiPriority w:val="99"/>
    <w:rPr>
      <w:rFonts w:ascii="宋体" w:hAnsi="宋体"/>
      <w:color w:val="000000"/>
      <w:sz w:val="21"/>
    </w:rPr>
  </w:style>
  <w:style w:type="character" w:customStyle="1" w:styleId="99">
    <w:name w:val="纯文本 Char"/>
    <w:qFormat/>
    <w:uiPriority w:val="0"/>
    <w:rPr>
      <w:rFonts w:ascii="宋体" w:hAnsi="Courier New"/>
      <w:color w:val="000000"/>
      <w:kern w:val="2"/>
      <w:sz w:val="28"/>
    </w:rPr>
  </w:style>
  <w:style w:type="character" w:customStyle="1" w:styleId="100">
    <w:name w:val="标题 4 Char"/>
    <w:qFormat/>
    <w:uiPriority w:val="9"/>
    <w:rPr>
      <w:rFonts w:ascii="Cambria" w:hAnsi="Cambria"/>
      <w:b/>
      <w:bCs/>
      <w:kern w:val="2"/>
      <w:sz w:val="21"/>
      <w:szCs w:val="28"/>
    </w:rPr>
  </w:style>
  <w:style w:type="character" w:customStyle="1" w:styleId="101">
    <w:name w:val="标题 3 Char"/>
    <w:qFormat/>
    <w:uiPriority w:val="9"/>
    <w:rPr>
      <w:b/>
      <w:bCs/>
      <w:kern w:val="2"/>
      <w:sz w:val="21"/>
      <w:szCs w:val="32"/>
    </w:rPr>
  </w:style>
  <w:style w:type="character" w:customStyle="1" w:styleId="102">
    <w:name w:val="标题 5 Char"/>
    <w:qFormat/>
    <w:uiPriority w:val="9"/>
    <w:rPr>
      <w:b/>
      <w:bCs/>
      <w:kern w:val="2"/>
      <w:sz w:val="21"/>
      <w:szCs w:val="28"/>
    </w:rPr>
  </w:style>
  <w:style w:type="character" w:customStyle="1" w:styleId="103">
    <w:name w:val="称呼 Char"/>
    <w:qFormat/>
    <w:uiPriority w:val="99"/>
    <w:rPr>
      <w:rFonts w:ascii="Times New Roman" w:hAnsi="Times New Roman"/>
      <w:kern w:val="2"/>
      <w:sz w:val="21"/>
      <w:szCs w:val="21"/>
    </w:rPr>
  </w:style>
  <w:style w:type="character" w:customStyle="1" w:styleId="104">
    <w:name w:val="fontstyle01"/>
    <w:qFormat/>
    <w:uiPriority w:val="0"/>
    <w:rPr>
      <w:rFonts w:hint="default" w:ascii="FZLTSK--GBK1-0" w:hAnsi="FZLTSK--GBK1-0"/>
      <w:color w:val="000000"/>
      <w:sz w:val="20"/>
      <w:szCs w:val="20"/>
    </w:rPr>
  </w:style>
  <w:style w:type="character" w:customStyle="1" w:styleId="105">
    <w:name w:val="批注文字 Char2"/>
    <w:qFormat/>
    <w:uiPriority w:val="0"/>
    <w:rPr>
      <w:rFonts w:ascii="宋体" w:hAnsi="宋体"/>
      <w:color w:val="000000"/>
      <w:sz w:val="21"/>
    </w:rPr>
  </w:style>
  <w:style w:type="character" w:customStyle="1" w:styleId="106">
    <w:name w:val="标题 2 Char"/>
    <w:qFormat/>
    <w:uiPriority w:val="0"/>
    <w:rPr>
      <w:rFonts w:ascii="宋体" w:hAnsi="宋体"/>
      <w:bCs/>
      <w:color w:val="000000"/>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db\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AF38953C-9B13-4FD5-A088-CA010C41D2E3}"/>
      </w:docPartPr>
      <w:docPartBody>
        <w:p w14:paraId="0C81395B">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CD"/>
    <w:rsid w:val="00114084"/>
    <w:rsid w:val="001D1949"/>
    <w:rsid w:val="00214ECD"/>
    <w:rsid w:val="0059733F"/>
    <w:rsid w:val="005D329C"/>
    <w:rsid w:val="00625953"/>
    <w:rsid w:val="00662D36"/>
    <w:rsid w:val="008678F3"/>
    <w:rsid w:val="0090709E"/>
    <w:rsid w:val="00D248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29324B1CF2C4E29A242B2C43A929B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03A8513261640BF82D84B4CF9286E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B8972A6F0944B00942B58352D8349D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]]></t:sse>
</t:template>
</file>

<file path=customXml/item3.xml><?xml version="1.0" encoding="utf-8"?>
<m:mapping xmlns:m="http://mapping.word.org/2012/mapping">
  <m:sm4><![CDATA[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]]></m:sm4>
</m:mapping>
</file>

<file path=customXml/item4.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李佳鸿</clcid-mr:GongSiFuZeRenXingMing>
  <clcid-mr:ZhuGuanKuaiJiGongZuoFuZeRenXingMing>迟军玉</clcid-mr:ZhuGuanKuaiJiGongZuoFuZeRenXingMing>
  <clcid-mr:KuaiJiJiGouFuZeRenXingMing>樊鸿宇</clcid-mr:KuaiJiJiGouFuZeRenXingMing>
  <clcid-cgi:GongSiFaDingZhongWenMingCheng>通化东宝药业股份有限公司</clcid-cgi:GongSiFaDingZhongWenMingCheng>
  <clcid-cgi:GongSiFaDingDaiBiaoRen/>
  <clcid-ar:ShenJiYiJianLeiXing xmlns:clcid-ar="clcid-ar">带强调事项段、其他事项段或与持续经营相关的重大不确定性段的无保留意见</clcid-ar:ShenJiYiJianLeiXing>
  <clcid-ci-qr:DanWeiKouChuFeiJingChangXingSunYiXiangMuHeJinE>元</clcid-ci-qr:DanWeiKouChuFeiJingChangXingSunYiXiangMuHeJinE>
  <clcid-ci-qr:BiZhongKouChuFeiJingChangXingSunYiXiangMuHeJinE>人民币</clcid-ci-qr:BiZhongKouChuFeiJingChangXingSunYiXiangMuHeJinE>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5.xml><?xml version="1.0" encoding="utf-8"?>
<sc:sections xmlns:sc="http://mapping.word.org/2014/section/customize"/>
</file>

<file path=customXml/itemProps1.xml><?xml version="1.0" encoding="utf-8"?>
<ds:datastoreItem xmlns:ds="http://schemas.openxmlformats.org/officeDocument/2006/customXml" ds:itemID="{926527CB-B7B3-48D6-A58B-661D43DED272}">
  <ds:schemaRefs/>
</ds:datastoreItem>
</file>

<file path=customXml/itemProps2.xml><?xml version="1.0" encoding="utf-8"?>
<ds:datastoreItem xmlns:ds="http://schemas.openxmlformats.org/officeDocument/2006/customXml" ds:itemID="{7F732A8F-EE4E-4BA2-93B2-0C1F3E0B423A}">
  <ds:schemaRefs/>
</ds:datastoreItem>
</file>

<file path=customXml/itemProps3.xml><?xml version="1.0" encoding="utf-8"?>
<ds:datastoreItem xmlns:ds="http://schemas.openxmlformats.org/officeDocument/2006/customXml" ds:itemID="{0B1309CE-2BA3-482D-95FF-706F648047C3}">
  <ds:schemaRefs/>
</ds:datastoreItem>
</file>

<file path=customXml/itemProps4.xml><?xml version="1.0" encoding="utf-8"?>
<ds:datastoreItem xmlns:ds="http://schemas.openxmlformats.org/officeDocument/2006/customXml" ds:itemID="{42DEBF9A-6816-48AE-BADD-E3125C474CD9}">
  <ds:schemaRefs/>
</ds:datastoreItem>
</file>

<file path=customXml/itemProps5.xml><?xml version="1.0" encoding="utf-8"?>
<ds:datastoreItem xmlns:ds="http://schemas.openxmlformats.org/officeDocument/2006/customXml" ds:itemID="{C527E9BB-C594-4D48-BCC1-06B12B6560F5}">
  <ds:schemaRefs/>
</ds:datastoreItem>
</file>

<file path=docProps/app.xml><?xml version="1.0" encoding="utf-8"?>
<Properties xmlns="http://schemas.openxmlformats.org/officeDocument/2006/extended-properties" xmlns:vt="http://schemas.openxmlformats.org/officeDocument/2006/docPropsVTypes">
  <Template>SSEReport</Template>
  <Company>微软中国</Company>
  <Pages>15</Pages>
  <Words>1572</Words>
  <Characters>2036</Characters>
  <Lines>974</Lines>
  <Paragraphs>893</Paragraphs>
  <TotalTime>5</TotalTime>
  <ScaleCrop>false</ScaleCrop>
  <LinksUpToDate>false</LinksUpToDate>
  <CharactersWithSpaces>2100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2025-10-17T07:06:00Z</dcterms:created>
  <dc:creator>.XBRL.</dc:creator>
  <cp:lastModifiedBy>Liii</cp:lastModifiedBy>
  <cp:lastPrinted>2025-10-24T02:10:00Z</cp:lastPrinted>
  <dcterms:modified xsi:type="dcterms:W3CDTF">2025-10-27T08:50:46Z</dcterms:modified>
  <dc:title>通化东宝药业股份有限公司2025年第三季度报告</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eyJoZGlkIjoiMTg3ZTJmMjZmZWY1MDM0Yjc1Yzc5NWViYWIzMzUxYTMiLCJ1c2VySWQiOiIyOTkyNTE3ODYifQ==</vt:lpwstr>
  </property>
  <property fmtid="{D5CDD505-2E9C-101B-9397-08002B2CF9AE}" pid="3" name="KSOProductBuildVer">
    <vt:lpwstr>2052-12.1.0.23125</vt:lpwstr>
  </property>
  <property fmtid="{D5CDD505-2E9C-101B-9397-08002B2CF9AE}" pid="4" name="ICV">
    <vt:lpwstr>B3176ED76E5F4071800DFDD1EDA7C7A3_12</vt:lpwstr>
  </property>
</Properties>
</file>